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D63729" w:rsidTr="00D63729">
        <w:tc>
          <w:tcPr>
            <w:tcW w:w="4219" w:type="dxa"/>
            <w:tcBorders>
              <w:top w:val="nil"/>
              <w:left w:val="nil"/>
              <w:bottom w:val="nil"/>
              <w:right w:val="nil"/>
            </w:tcBorders>
            <w:hideMark/>
          </w:tcPr>
          <w:p w:rsidR="00D63729" w:rsidRDefault="00D6372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ИСПОЛНИТЕЛЬНЫЙ КОМИТЕТ БОЛЬШЕШУРНЯКСКОГО</w:t>
            </w:r>
          </w:p>
          <w:p w:rsidR="00D63729" w:rsidRDefault="00D6372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w:t>
            </w:r>
          </w:p>
          <w:p w:rsidR="00D63729" w:rsidRDefault="00D6372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ЕЛАБУЖСКОГО МУНИЦИПАЛЬНОГО</w:t>
            </w:r>
          </w:p>
          <w:p w:rsidR="00D63729" w:rsidRDefault="00D63729">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D63729" w:rsidRDefault="00D63729">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D63729" w:rsidRDefault="00D63729">
            <w:pPr>
              <w:spacing w:line="276" w:lineRule="auto"/>
              <w:ind w:right="-158" w:firstLine="0"/>
              <w:jc w:val="center"/>
              <w:rPr>
                <w:rFonts w:ascii="Times New Roman" w:eastAsia="Calibri" w:hAnsi="Times New Roman"/>
              </w:rPr>
            </w:pPr>
            <w:r>
              <w:rPr>
                <w:rFonts w:eastAsia="Calibri"/>
                <w:noProof/>
                <w:lang w:eastAsia="ru-RU"/>
              </w:rPr>
              <w:drawing>
                <wp:inline distT="0" distB="0" distL="0" distR="0" wp14:anchorId="7A80BF90" wp14:editId="3841EE86">
                  <wp:extent cx="643890" cy="668020"/>
                  <wp:effectExtent l="0" t="0" r="3810" b="0"/>
                  <wp:docPr id="1" name="Рисунок 1"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668020"/>
                          </a:xfrm>
                          <a:prstGeom prst="rect">
                            <a:avLst/>
                          </a:prstGeom>
                          <a:noFill/>
                          <a:ln>
                            <a:noFill/>
                          </a:ln>
                        </pic:spPr>
                      </pic:pic>
                    </a:graphicData>
                  </a:graphic>
                </wp:inline>
              </w:drawing>
            </w:r>
          </w:p>
        </w:tc>
        <w:tc>
          <w:tcPr>
            <w:tcW w:w="4546" w:type="dxa"/>
            <w:tcBorders>
              <w:top w:val="nil"/>
              <w:left w:val="nil"/>
              <w:bottom w:val="nil"/>
              <w:right w:val="nil"/>
            </w:tcBorders>
            <w:hideMark/>
          </w:tcPr>
          <w:p w:rsidR="00D63729" w:rsidRDefault="00D63729">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D63729" w:rsidRDefault="00D63729">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D63729" w:rsidRDefault="00D6372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D63729" w:rsidRDefault="00D63729">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D63729" w:rsidRDefault="00D6372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D63729" w:rsidRDefault="00D6372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D63729" w:rsidRDefault="00D6372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БАШКАРМА </w:t>
            </w:r>
          </w:p>
          <w:p w:rsidR="00D63729" w:rsidRDefault="00D63729">
            <w:pPr>
              <w:tabs>
                <w:tab w:val="left" w:pos="945"/>
              </w:tabs>
              <w:spacing w:line="300" w:lineRule="exact"/>
              <w:ind w:firstLine="0"/>
              <w:jc w:val="center"/>
              <w:rPr>
                <w:rFonts w:ascii="Times New Roman" w:eastAsia="Calibri" w:hAnsi="Times New Roman"/>
                <w:sz w:val="28"/>
                <w:szCs w:val="28"/>
                <w:lang w:val="tt-RU"/>
              </w:rPr>
            </w:pPr>
            <w:r>
              <w:rPr>
                <w:rFonts w:ascii="Times New Roman" w:eastAsia="Calibri" w:hAnsi="Times New Roman"/>
                <w:bCs/>
                <w:sz w:val="28"/>
                <w:szCs w:val="28"/>
                <w:lang w:val="tt-RU"/>
              </w:rPr>
              <w:t>КОМИТЕТЫ</w:t>
            </w:r>
          </w:p>
        </w:tc>
      </w:tr>
    </w:tbl>
    <w:p w:rsidR="00D63729" w:rsidRDefault="00D63729" w:rsidP="00D63729">
      <w:pPr>
        <w:pBdr>
          <w:bottom w:val="single" w:sz="12" w:space="1" w:color="auto"/>
        </w:pBdr>
        <w:ind w:firstLine="0"/>
      </w:pPr>
    </w:p>
    <w:p w:rsidR="00D63729" w:rsidRDefault="00D63729" w:rsidP="00D63729">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ПОСТАНОВЛЕНИЕ</w:t>
      </w:r>
      <w:r>
        <w:rPr>
          <w:rFonts w:ascii="Times New Roman" w:eastAsia="Calibri" w:hAnsi="Times New Roman"/>
          <w:sz w:val="28"/>
          <w:szCs w:val="28"/>
          <w:lang w:val="tt-RU"/>
        </w:rPr>
        <w:tab/>
        <w:t xml:space="preserve">         КАРАР</w:t>
      </w:r>
    </w:p>
    <w:p w:rsidR="00D63729" w:rsidRDefault="00D63729" w:rsidP="00D63729">
      <w:pPr>
        <w:tabs>
          <w:tab w:val="left" w:pos="6390"/>
        </w:tabs>
        <w:spacing w:line="300" w:lineRule="exact"/>
        <w:ind w:firstLine="0"/>
        <w:jc w:val="left"/>
        <w:rPr>
          <w:rFonts w:ascii="Times New Roman" w:eastAsia="Calibri" w:hAnsi="Times New Roman"/>
          <w:sz w:val="24"/>
          <w:szCs w:val="24"/>
          <w:lang w:val="tt-RU"/>
        </w:rPr>
      </w:pPr>
    </w:p>
    <w:p w:rsidR="00D63729" w:rsidRDefault="00370B21" w:rsidP="00D63729">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12</w:t>
      </w:r>
      <w:r w:rsidR="00D63729">
        <w:rPr>
          <w:rFonts w:ascii="Times New Roman" w:eastAsia="Calibri" w:hAnsi="Times New Roman"/>
          <w:color w:val="000000" w:themeColor="text1"/>
          <w:sz w:val="28"/>
          <w:szCs w:val="28"/>
          <w:lang w:val="tt-RU"/>
        </w:rPr>
        <w:t xml:space="preserve">  </w:t>
      </w:r>
      <w:r w:rsidR="00D63729">
        <w:rPr>
          <w:rFonts w:ascii="Times New Roman" w:eastAsia="Calibri" w:hAnsi="Times New Roman"/>
          <w:color w:val="000000" w:themeColor="text1"/>
          <w:sz w:val="16"/>
          <w:szCs w:val="16"/>
          <w:lang w:val="tt-RU"/>
        </w:rPr>
        <w:t xml:space="preserve">                             </w:t>
      </w:r>
      <w:r w:rsidR="00D63729">
        <w:rPr>
          <w:rFonts w:ascii="Times New Roman" w:eastAsia="Calibri" w:hAnsi="Times New Roman"/>
          <w:color w:val="000000" w:themeColor="text1"/>
          <w:sz w:val="28"/>
          <w:szCs w:val="28"/>
          <w:lang w:val="tt-RU"/>
        </w:rPr>
        <w:t>с. Большой Шурняк</w:t>
      </w:r>
      <w:r w:rsidR="00D63729">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от 15.11</w:t>
      </w:r>
      <w:r w:rsidR="00D63729">
        <w:rPr>
          <w:rFonts w:ascii="Times New Roman" w:eastAsia="Calibri" w:hAnsi="Times New Roman"/>
          <w:color w:val="000000" w:themeColor="text1"/>
          <w:sz w:val="28"/>
          <w:szCs w:val="28"/>
          <w:lang w:val="tt-RU"/>
        </w:rPr>
        <w:t>.2017 г.</w:t>
      </w:r>
      <w:bookmarkStart w:id="0" w:name="_GoBack"/>
      <w:bookmarkEnd w:id="0"/>
    </w:p>
    <w:p w:rsidR="00370B21" w:rsidRPr="00370B21" w:rsidRDefault="00370B21" w:rsidP="00D63729">
      <w:pPr>
        <w:rPr>
          <w:rFonts w:ascii="Times New Roman" w:eastAsia="Calibri" w:hAnsi="Times New Roman"/>
          <w:color w:val="000000" w:themeColor="text1"/>
          <w:sz w:val="28"/>
          <w:szCs w:val="28"/>
          <w:lang w:val="tt-RU"/>
        </w:rPr>
      </w:pPr>
    </w:p>
    <w:p w:rsidR="00370B21" w:rsidRPr="00370B21" w:rsidRDefault="00370B21" w:rsidP="00F653AA">
      <w:pPr>
        <w:jc w:val="center"/>
        <w:rPr>
          <w:rFonts w:ascii="Times New Roman" w:hAnsi="Times New Roman"/>
          <w:sz w:val="28"/>
          <w:szCs w:val="28"/>
        </w:rPr>
      </w:pPr>
      <w:r w:rsidRPr="00370B21">
        <w:rPr>
          <w:rFonts w:ascii="Times New Roman" w:hAnsi="Times New Roman"/>
          <w:sz w:val="28"/>
          <w:szCs w:val="28"/>
        </w:rPr>
        <w:t>Об  утверждении Положения о содержании мест захоронений  и организации ритуальных услуг на территории муниципального образования</w:t>
      </w:r>
    </w:p>
    <w:p w:rsidR="00370B21" w:rsidRPr="00370B21" w:rsidRDefault="00370B21" w:rsidP="00F653AA">
      <w:pPr>
        <w:ind w:firstLine="0"/>
        <w:jc w:val="center"/>
        <w:rPr>
          <w:rFonts w:ascii="Times New Roman" w:hAnsi="Times New Roman"/>
          <w:sz w:val="28"/>
          <w:szCs w:val="28"/>
        </w:rPr>
      </w:pPr>
      <w:r w:rsidRPr="00370B21">
        <w:rPr>
          <w:rFonts w:ascii="Times New Roman" w:hAnsi="Times New Roman"/>
          <w:sz w:val="28"/>
          <w:szCs w:val="28"/>
        </w:rPr>
        <w:t>«</w:t>
      </w:r>
      <w:proofErr w:type="spellStart"/>
      <w:r w:rsidRPr="00370B21">
        <w:rPr>
          <w:rFonts w:ascii="Times New Roman" w:hAnsi="Times New Roman"/>
          <w:sz w:val="28"/>
          <w:szCs w:val="28"/>
        </w:rPr>
        <w:t>Большешурнякское</w:t>
      </w:r>
      <w:proofErr w:type="spellEnd"/>
      <w:r w:rsidRPr="00370B21">
        <w:rPr>
          <w:rFonts w:ascii="Times New Roman" w:hAnsi="Times New Roman"/>
          <w:sz w:val="28"/>
          <w:szCs w:val="28"/>
        </w:rPr>
        <w:t xml:space="preserve"> сельское поселение» Елабужского муниципального района Республики Татарстан</w:t>
      </w:r>
    </w:p>
    <w:p w:rsidR="00370B21" w:rsidRPr="00370B21" w:rsidRDefault="00370B21" w:rsidP="00370B21">
      <w:pPr>
        <w:jc w:val="center"/>
        <w:rPr>
          <w:rFonts w:ascii="Times New Roman" w:hAnsi="Times New Roman"/>
          <w:sz w:val="28"/>
          <w:szCs w:val="28"/>
        </w:rPr>
      </w:pP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Татарстан от 28.07.2004 № 45-ЗРТ «О местном самоуправлении в Республике Татарстан», Уставом муниципального образования «</w:t>
      </w:r>
      <w:proofErr w:type="spellStart"/>
      <w:r w:rsidRPr="00370B21">
        <w:rPr>
          <w:rFonts w:ascii="Times New Roman" w:hAnsi="Times New Roman"/>
          <w:sz w:val="28"/>
          <w:szCs w:val="28"/>
        </w:rPr>
        <w:t>Большешурнякское</w:t>
      </w:r>
      <w:proofErr w:type="spellEnd"/>
      <w:r w:rsidRPr="00370B21">
        <w:rPr>
          <w:rFonts w:ascii="Times New Roman" w:hAnsi="Times New Roman"/>
          <w:sz w:val="28"/>
          <w:szCs w:val="28"/>
        </w:rPr>
        <w:t xml:space="preserve"> сельское поселение» Елабужского муниципального района Республики Татарстан Исполнительный комитет Большешурнякского сельского поселения Елабужского муниципального района</w:t>
      </w:r>
    </w:p>
    <w:p w:rsidR="00370B21" w:rsidRPr="00370B21" w:rsidRDefault="00370B21" w:rsidP="00370B21">
      <w:pPr>
        <w:jc w:val="cente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ПОСТАНОВИЛ:</w:t>
      </w:r>
    </w:p>
    <w:p w:rsidR="00370B21" w:rsidRPr="00370B21" w:rsidRDefault="00370B21" w:rsidP="00370B21">
      <w:pPr>
        <w:ind w:firstLine="567"/>
        <w:rPr>
          <w:rFonts w:ascii="Times New Roman" w:hAnsi="Times New Roman"/>
          <w:sz w:val="28"/>
          <w:szCs w:val="28"/>
        </w:rPr>
      </w:pP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  Утвердить Положение о содержании мест захоронений и организации ритуальных услуг на территории МО «</w:t>
      </w:r>
      <w:proofErr w:type="spellStart"/>
      <w:r w:rsidRPr="00370B21">
        <w:rPr>
          <w:rFonts w:ascii="Times New Roman" w:hAnsi="Times New Roman"/>
          <w:sz w:val="28"/>
          <w:szCs w:val="28"/>
        </w:rPr>
        <w:t>Большешурнякское</w:t>
      </w:r>
      <w:proofErr w:type="spellEnd"/>
      <w:r w:rsidRPr="00370B21">
        <w:rPr>
          <w:rFonts w:ascii="Times New Roman" w:hAnsi="Times New Roman"/>
          <w:sz w:val="28"/>
          <w:szCs w:val="28"/>
        </w:rPr>
        <w:t xml:space="preserve"> сельское поселение» Елабужского муниципального района Республики Татарстан (приложение № 1).</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   Настоящее постановление вступает в силу с момента опубликования.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 Опубликовать настоящее постановление в  СМИ и разместить на официальном сайте муниципального образования.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4. </w:t>
      </w:r>
      <w:proofErr w:type="gramStart"/>
      <w:r w:rsidRPr="00370B21">
        <w:rPr>
          <w:rFonts w:ascii="Times New Roman" w:hAnsi="Times New Roman"/>
          <w:sz w:val="28"/>
          <w:szCs w:val="28"/>
        </w:rPr>
        <w:t>Контроль за</w:t>
      </w:r>
      <w:proofErr w:type="gramEnd"/>
      <w:r w:rsidRPr="00370B21">
        <w:rPr>
          <w:rFonts w:ascii="Times New Roman" w:hAnsi="Times New Roman"/>
          <w:sz w:val="28"/>
          <w:szCs w:val="28"/>
        </w:rPr>
        <w:t xml:space="preserve"> исполнением настоящего постановления оставляю за собой.</w:t>
      </w:r>
    </w:p>
    <w:p w:rsidR="00370B21" w:rsidRPr="00370B21" w:rsidRDefault="00370B21" w:rsidP="00370B21">
      <w:pPr>
        <w:rPr>
          <w:rFonts w:ascii="Times New Roman" w:hAnsi="Times New Roman"/>
          <w:sz w:val="28"/>
          <w:szCs w:val="28"/>
        </w:rPr>
      </w:pPr>
    </w:p>
    <w:p w:rsidR="00370B21" w:rsidRPr="00370B21" w:rsidRDefault="00370B21" w:rsidP="00370B21">
      <w:pPr>
        <w:rPr>
          <w:rFonts w:ascii="Times New Roman" w:hAnsi="Times New Roman"/>
          <w:sz w:val="28"/>
          <w:szCs w:val="28"/>
        </w:rPr>
      </w:pPr>
    </w:p>
    <w:p w:rsidR="00370B21" w:rsidRPr="00370B21" w:rsidRDefault="00370B21" w:rsidP="00370B21">
      <w:pPr>
        <w:rPr>
          <w:rFonts w:ascii="Times New Roman" w:hAnsi="Times New Roman"/>
          <w:sz w:val="28"/>
          <w:szCs w:val="28"/>
        </w:rPr>
      </w:pPr>
    </w:p>
    <w:p w:rsidR="00370B21" w:rsidRPr="00370B21" w:rsidRDefault="00370B21" w:rsidP="00370B21">
      <w:pPr>
        <w:ind w:firstLine="0"/>
        <w:rPr>
          <w:rFonts w:ascii="Times New Roman" w:hAnsi="Times New Roman"/>
          <w:sz w:val="28"/>
          <w:szCs w:val="28"/>
        </w:rPr>
      </w:pPr>
      <w:r w:rsidRPr="00370B21">
        <w:rPr>
          <w:rFonts w:ascii="Times New Roman" w:hAnsi="Times New Roman"/>
          <w:sz w:val="28"/>
          <w:szCs w:val="28"/>
        </w:rPr>
        <w:t>Руководитель</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0B21">
        <w:rPr>
          <w:rFonts w:ascii="Times New Roman" w:hAnsi="Times New Roman"/>
          <w:sz w:val="28"/>
          <w:szCs w:val="28"/>
        </w:rPr>
        <w:t>Н.И. Мельников</w:t>
      </w:r>
    </w:p>
    <w:p w:rsidR="00370B21" w:rsidRPr="00370B21" w:rsidRDefault="00370B21" w:rsidP="00370B21">
      <w:pPr>
        <w:rPr>
          <w:rFonts w:ascii="Times New Roman" w:hAnsi="Times New Roman"/>
          <w:sz w:val="28"/>
          <w:szCs w:val="28"/>
        </w:rPr>
      </w:pPr>
    </w:p>
    <w:p w:rsidR="00370B21" w:rsidRPr="00370B21" w:rsidRDefault="00370B21" w:rsidP="00370B21">
      <w:pPr>
        <w:rPr>
          <w:rFonts w:ascii="Times New Roman" w:hAnsi="Times New Roman"/>
          <w:sz w:val="28"/>
          <w:szCs w:val="28"/>
        </w:rPr>
      </w:pPr>
    </w:p>
    <w:p w:rsidR="00370B21" w:rsidRPr="00370B21" w:rsidRDefault="00370B21" w:rsidP="00370B21">
      <w:pPr>
        <w:jc w:val="right"/>
        <w:rPr>
          <w:rFonts w:ascii="Times New Roman" w:hAnsi="Times New Roman"/>
          <w:sz w:val="28"/>
          <w:szCs w:val="28"/>
        </w:rPr>
      </w:pPr>
      <w:r w:rsidRPr="00370B21">
        <w:rPr>
          <w:rFonts w:ascii="Times New Roman" w:hAnsi="Times New Roman"/>
          <w:sz w:val="28"/>
          <w:szCs w:val="28"/>
        </w:rPr>
        <w:br w:type="page"/>
      </w:r>
      <w:r w:rsidRPr="00370B21">
        <w:rPr>
          <w:rFonts w:ascii="Times New Roman" w:hAnsi="Times New Roman"/>
          <w:sz w:val="28"/>
          <w:szCs w:val="28"/>
        </w:rPr>
        <w:lastRenderedPageBreak/>
        <w:t>Приложение № 1</w:t>
      </w:r>
    </w:p>
    <w:p w:rsidR="00370B21" w:rsidRPr="00370B21" w:rsidRDefault="00370B21" w:rsidP="00370B21">
      <w:pP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Положение о содержании мест захоронений и организации ритуальных услуг на территории Большешурнякского сельского поселения Елабужского муниципального  района Республики Татарстан</w:t>
      </w:r>
    </w:p>
    <w:p w:rsidR="00370B21" w:rsidRPr="00370B21" w:rsidRDefault="00370B21" w:rsidP="00370B21">
      <w:pP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1. Общие положения</w:t>
      </w:r>
    </w:p>
    <w:p w:rsidR="00370B21" w:rsidRPr="00370B21" w:rsidRDefault="00370B21" w:rsidP="00370B21">
      <w:pPr>
        <w:ind w:firstLine="567"/>
        <w:rPr>
          <w:rFonts w:ascii="Times New Roman" w:hAnsi="Times New Roman"/>
          <w:sz w:val="28"/>
          <w:szCs w:val="28"/>
        </w:rPr>
      </w:pPr>
      <w:proofErr w:type="gramStart"/>
      <w:r w:rsidRPr="00370B21">
        <w:rPr>
          <w:rFonts w:ascii="Times New Roman" w:hAnsi="Times New Roman"/>
          <w:sz w:val="28"/>
          <w:szCs w:val="28"/>
        </w:rPr>
        <w:t xml:space="preserve">Настоящее Положение разработано в соответствии с </w:t>
      </w:r>
      <w:hyperlink r:id="rId7" w:history="1">
        <w:r w:rsidRPr="00370B21">
          <w:rPr>
            <w:rStyle w:val="a5"/>
            <w:rFonts w:ascii="Times New Roman" w:hAnsi="Times New Roman"/>
            <w:sz w:val="28"/>
            <w:szCs w:val="28"/>
          </w:rPr>
          <w:t>Федеральным законом</w:t>
        </w:r>
      </w:hyperlink>
      <w:r w:rsidRPr="00370B21">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370B21">
          <w:rPr>
            <w:rStyle w:val="a5"/>
            <w:rFonts w:ascii="Times New Roman" w:hAnsi="Times New Roman"/>
            <w:sz w:val="28"/>
            <w:szCs w:val="28"/>
          </w:rPr>
          <w:t>Федеральным законом</w:t>
        </w:r>
      </w:hyperlink>
      <w:r w:rsidRPr="00370B21">
        <w:rPr>
          <w:rFonts w:ascii="Times New Roman" w:hAnsi="Times New Roman"/>
          <w:sz w:val="28"/>
          <w:szCs w:val="28"/>
        </w:rPr>
        <w:t xml:space="preserve"> от 12.01.1996 № 8-ФЗ «О погребении и похоронном деле», </w:t>
      </w:r>
      <w:hyperlink r:id="rId9" w:history="1">
        <w:r w:rsidRPr="00370B21">
          <w:rPr>
            <w:rStyle w:val="a5"/>
            <w:rFonts w:ascii="Times New Roman" w:hAnsi="Times New Roman"/>
            <w:sz w:val="28"/>
            <w:szCs w:val="28"/>
          </w:rPr>
          <w:t>Указом</w:t>
        </w:r>
      </w:hyperlink>
      <w:r w:rsidRPr="00370B21">
        <w:rPr>
          <w:rFonts w:ascii="Times New Roman" w:hAnsi="Times New Roman"/>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0" w:history="1">
        <w:r w:rsidRPr="00370B21">
          <w:rPr>
            <w:rStyle w:val="a5"/>
            <w:rFonts w:ascii="Times New Roman" w:hAnsi="Times New Roman"/>
            <w:sz w:val="28"/>
            <w:szCs w:val="28"/>
          </w:rPr>
          <w:t>Уставом</w:t>
        </w:r>
      </w:hyperlink>
      <w:r w:rsidRPr="00370B21">
        <w:rPr>
          <w:rFonts w:ascii="Times New Roman" w:hAnsi="Times New Roman"/>
          <w:sz w:val="28"/>
          <w:szCs w:val="28"/>
        </w:rPr>
        <w:t xml:space="preserve"> муниципального образования «</w:t>
      </w:r>
      <w:proofErr w:type="spellStart"/>
      <w:r w:rsidRPr="00370B21">
        <w:rPr>
          <w:rFonts w:ascii="Times New Roman" w:hAnsi="Times New Roman"/>
          <w:sz w:val="28"/>
          <w:szCs w:val="28"/>
        </w:rPr>
        <w:t>Большешурнякское</w:t>
      </w:r>
      <w:proofErr w:type="spellEnd"/>
      <w:r w:rsidRPr="00370B21">
        <w:rPr>
          <w:rFonts w:ascii="Times New Roman" w:hAnsi="Times New Roman"/>
          <w:sz w:val="28"/>
          <w:szCs w:val="28"/>
        </w:rPr>
        <w:t xml:space="preserve"> сельское поселение» Елабужского муниципального  района Республики Татарстан, Постановлением Главного</w:t>
      </w:r>
      <w:proofErr w:type="gramEnd"/>
      <w:r w:rsidRPr="00370B21">
        <w:rPr>
          <w:rFonts w:ascii="Times New Roman" w:hAnsi="Times New Roman"/>
          <w:sz w:val="28"/>
          <w:szCs w:val="28"/>
        </w:rPr>
        <w:t xml:space="preserve">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Основными принципами в сфере погребения и похоронного дела в </w:t>
      </w:r>
      <w:proofErr w:type="spellStart"/>
      <w:r w:rsidRPr="00370B21">
        <w:rPr>
          <w:rFonts w:ascii="Times New Roman" w:hAnsi="Times New Roman"/>
          <w:sz w:val="28"/>
          <w:szCs w:val="28"/>
        </w:rPr>
        <w:t>Большешурнякском</w:t>
      </w:r>
      <w:proofErr w:type="spellEnd"/>
      <w:r w:rsidRPr="00370B21">
        <w:rPr>
          <w:rFonts w:ascii="Times New Roman" w:hAnsi="Times New Roman"/>
          <w:sz w:val="28"/>
          <w:szCs w:val="28"/>
        </w:rPr>
        <w:t xml:space="preserve"> сельском поселении Елабужского муниципального  района Республики Татарстан являются: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Гарантии погребения умершего с учетом его волеизъявления, выраженного лицом при жизни,  пожелания родственников.</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Соблюдение санитарных, экологических и иных требований к выбору места погребения.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Доступность услуг по погребению для населения.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Равный доступ лиц, оказывающих услуги по погребению, на рынок услуг по погребению.</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Ответственность органов местного самоуправления за организацию ритуальных услуг и содержание мест захоронения в </w:t>
      </w:r>
      <w:proofErr w:type="spellStart"/>
      <w:r w:rsidRPr="00370B21">
        <w:rPr>
          <w:rFonts w:ascii="Times New Roman" w:hAnsi="Times New Roman"/>
          <w:sz w:val="28"/>
          <w:szCs w:val="28"/>
        </w:rPr>
        <w:t>Большешурнякском</w:t>
      </w:r>
      <w:proofErr w:type="spellEnd"/>
      <w:r w:rsidRPr="00370B21">
        <w:rPr>
          <w:rFonts w:ascii="Times New Roman" w:hAnsi="Times New Roman"/>
          <w:sz w:val="28"/>
          <w:szCs w:val="28"/>
        </w:rPr>
        <w:t xml:space="preserve"> сельском поселении Елабужского муниципального  района Республики Татарстан. </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Понятия, используемые в Положении, применяются в значении, определенном законодательством Российской Федерации.</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 Полномочия органов местного самоуправления в области организации ритуальных услуг и содержания мест захоронения (далее — кладбищ):</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 создание муниципального кладбища;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1.3.2.определение стоимости услуг, предоставляемых согласно гарантированному перечню услуг по погребению;</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1.3.3. организация ритуальных услуг и содержание мест захоронения;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1.3.4. установление требований к качеству услуг по погребению;</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1.3.5 установление размера бесплатно предоставляемого участка земли для погребения;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1.3.6. предоставление земельного участка для размещения мест погребения;</w:t>
      </w:r>
    </w:p>
    <w:p w:rsidR="00370B21" w:rsidRPr="00370B21" w:rsidRDefault="00370B21" w:rsidP="00370B21">
      <w:pPr>
        <w:ind w:firstLine="567"/>
        <w:rPr>
          <w:rFonts w:ascii="Times New Roman" w:hAnsi="Times New Roman"/>
          <w:sz w:val="28"/>
          <w:szCs w:val="28"/>
        </w:rPr>
      </w:pPr>
      <w:proofErr w:type="gramStart"/>
      <w:r w:rsidRPr="00370B21">
        <w:rPr>
          <w:rFonts w:ascii="Times New Roman" w:hAnsi="Times New Roman"/>
          <w:sz w:val="28"/>
          <w:szCs w:val="28"/>
        </w:rPr>
        <w:t xml:space="preserve">1.3.7 создание на территории муниципальных кладбищ кварталов (участков) семейных (родовых) захоронений, воинских участков, участков для захоронения урн с прахом, </w:t>
      </w:r>
      <w:proofErr w:type="spellStart"/>
      <w:r w:rsidRPr="00370B21">
        <w:rPr>
          <w:rFonts w:ascii="Times New Roman" w:hAnsi="Times New Roman"/>
          <w:sz w:val="28"/>
          <w:szCs w:val="28"/>
        </w:rPr>
        <w:t>вероисповедальных</w:t>
      </w:r>
      <w:proofErr w:type="spellEnd"/>
      <w:r w:rsidRPr="00370B21">
        <w:rPr>
          <w:rFonts w:ascii="Times New Roman" w:hAnsi="Times New Roman"/>
          <w:sz w:val="28"/>
          <w:szCs w:val="28"/>
        </w:rPr>
        <w:t xml:space="preserve"> участков, участков для захоронения умерших, личность которых не установлена,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w:t>
      </w:r>
      <w:proofErr w:type="gramEnd"/>
      <w:r w:rsidRPr="00370B21">
        <w:rPr>
          <w:rFonts w:ascii="Times New Roman" w:hAnsi="Times New Roman"/>
          <w:sz w:val="28"/>
          <w:szCs w:val="28"/>
        </w:rPr>
        <w:t xml:space="preserve"> участков, отведенных для захоронения </w:t>
      </w:r>
      <w:proofErr w:type="gramStart"/>
      <w:r w:rsidRPr="00370B21">
        <w:rPr>
          <w:rFonts w:ascii="Times New Roman" w:hAnsi="Times New Roman"/>
          <w:sz w:val="28"/>
          <w:szCs w:val="28"/>
        </w:rPr>
        <w:t>патолого-анатомических</w:t>
      </w:r>
      <w:proofErr w:type="gramEnd"/>
      <w:r w:rsidRPr="00370B21">
        <w:rPr>
          <w:rFonts w:ascii="Times New Roman" w:hAnsi="Times New Roman"/>
          <w:sz w:val="28"/>
          <w:szCs w:val="28"/>
        </w:rPr>
        <w:t xml:space="preserve"> и операционных отходов;</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1.3.8.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1.3.9. обеспечение выдачи решений о выделении мест для захоронений, выдачу разрешений на захоронения, разрешений на перезахоронения и определяет порядок их выдачи;</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1.3.10. обеспечение регистрации, перерегистрации захоронений и эксгумаций, произведенных на территории муниципальных кладбищ;</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13.11. обозначение и регистрация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захоронение жертв массовых репрессий, а в необходимых случаях организация перезахоронения останков погибших;</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1.3.12.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1.3.13. определение порядка деятельности специализированных служб по вопросам похоронного дела;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1.3.14. организация размещения заказов на право заключения договоров по содержанию мест захоронения;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1.3.15. обеспечение </w:t>
      </w:r>
      <w:proofErr w:type="gramStart"/>
      <w:r w:rsidRPr="00370B21">
        <w:rPr>
          <w:rFonts w:ascii="Times New Roman" w:hAnsi="Times New Roman"/>
          <w:sz w:val="28"/>
          <w:szCs w:val="28"/>
        </w:rPr>
        <w:t>контроля за</w:t>
      </w:r>
      <w:proofErr w:type="gramEnd"/>
      <w:r w:rsidRPr="00370B21">
        <w:rPr>
          <w:rFonts w:ascii="Times New Roman" w:hAnsi="Times New Roman"/>
          <w:sz w:val="28"/>
          <w:szCs w:val="28"/>
        </w:rPr>
        <w:t xml:space="preserve"> соблюдением условий договоров по содержанию мест захоронения;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1.3.16. иные полномочия, отнесенные действующим законодательством к компетенции органов местного самоуправления.</w:t>
      </w:r>
    </w:p>
    <w:p w:rsidR="00370B21" w:rsidRPr="00370B21" w:rsidRDefault="00370B21" w:rsidP="00370B21">
      <w:pP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2. Порядок деятельности кладбищ и правила содержания мест погребения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2.2.Территория каждого кладбища подразделяется на кварталы (участки).</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2.3.Бесплатно предоставляемые места погребений определяются установленной планировкой кладбища в размере не более 5 </w:t>
      </w:r>
      <w:proofErr w:type="spellStart"/>
      <w:r w:rsidRPr="00370B21">
        <w:rPr>
          <w:rFonts w:ascii="Times New Roman" w:hAnsi="Times New Roman"/>
          <w:sz w:val="28"/>
          <w:szCs w:val="28"/>
        </w:rPr>
        <w:t>кв</w:t>
      </w:r>
      <w:proofErr w:type="gramStart"/>
      <w:r w:rsidRPr="00370B21">
        <w:rPr>
          <w:rFonts w:ascii="Times New Roman" w:hAnsi="Times New Roman"/>
          <w:sz w:val="28"/>
          <w:szCs w:val="28"/>
        </w:rPr>
        <w:t>.м</w:t>
      </w:r>
      <w:proofErr w:type="spellEnd"/>
      <w:proofErr w:type="gramEnd"/>
      <w:r w:rsidRPr="00370B21">
        <w:rPr>
          <w:rFonts w:ascii="Times New Roman" w:hAnsi="Times New Roman"/>
          <w:sz w:val="28"/>
          <w:szCs w:val="28"/>
        </w:rPr>
        <w:t xml:space="preserve"> на каждое захоронение. При наличии свободного места, возможно выделение земельного участка размером не более 7 </w:t>
      </w:r>
      <w:proofErr w:type="spellStart"/>
      <w:r w:rsidRPr="00370B21">
        <w:rPr>
          <w:rFonts w:ascii="Times New Roman" w:hAnsi="Times New Roman"/>
          <w:sz w:val="28"/>
          <w:szCs w:val="28"/>
        </w:rPr>
        <w:t>кв.м</w:t>
      </w:r>
      <w:proofErr w:type="spellEnd"/>
      <w:r w:rsidRPr="00370B21">
        <w:rPr>
          <w:rFonts w:ascii="Times New Roman" w:hAnsi="Times New Roman"/>
          <w:sz w:val="28"/>
          <w:szCs w:val="28"/>
        </w:rPr>
        <w:t>. для погребения родственников.</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2.4.  Ширина разрывов между местами захоронения не должна быть менее 0,5 метра.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2.5. Участки для погребения устанавливаются следующих размеров:</w:t>
      </w:r>
    </w:p>
    <w:tbl>
      <w:tblPr>
        <w:tblW w:w="5000" w:type="pct"/>
        <w:tblInd w:w="5" w:type="dxa"/>
        <w:tblCellMar>
          <w:left w:w="0" w:type="dxa"/>
          <w:right w:w="0" w:type="dxa"/>
        </w:tblCellMar>
        <w:tblLook w:val="04A0" w:firstRow="1" w:lastRow="0" w:firstColumn="1" w:lastColumn="0" w:noHBand="0" w:noVBand="1"/>
      </w:tblPr>
      <w:tblGrid>
        <w:gridCol w:w="5926"/>
        <w:gridCol w:w="1878"/>
        <w:gridCol w:w="1571"/>
      </w:tblGrid>
      <w:tr w:rsidR="00370B21" w:rsidRPr="00370B21" w:rsidTr="006743D9">
        <w:trPr>
          <w:trHeight w:val="645"/>
        </w:trPr>
        <w:tc>
          <w:tcPr>
            <w:tcW w:w="5445" w:type="dxa"/>
            <w:tcBorders>
              <w:top w:val="single" w:sz="8" w:space="0" w:color="E0E0E0"/>
              <w:left w:val="single" w:sz="8" w:space="0" w:color="E0E0E0"/>
              <w:bottom w:val="nil"/>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Количество погребений в одном уровне и на одном месте</w:t>
            </w:r>
          </w:p>
        </w:tc>
        <w:tc>
          <w:tcPr>
            <w:tcW w:w="3168" w:type="dxa"/>
            <w:gridSpan w:val="2"/>
            <w:tcBorders>
              <w:top w:val="single" w:sz="8" w:space="0" w:color="000000"/>
              <w:left w:val="single" w:sz="8" w:space="0" w:color="000000"/>
              <w:bottom w:val="single" w:sz="8" w:space="0" w:color="000000"/>
              <w:right w:val="single" w:sz="8" w:space="0" w:color="00000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 Размеры в метрах</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p>
        </w:tc>
        <w:tc>
          <w:tcPr>
            <w:tcW w:w="172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ширина</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длина</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Одиночные</w:t>
            </w:r>
          </w:p>
        </w:tc>
        <w:tc>
          <w:tcPr>
            <w:tcW w:w="172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1,0</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Родственные</w:t>
            </w:r>
          </w:p>
        </w:tc>
        <w:tc>
          <w:tcPr>
            <w:tcW w:w="172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Семейные (родовые)</w:t>
            </w:r>
          </w:p>
        </w:tc>
        <w:tc>
          <w:tcPr>
            <w:tcW w:w="1725" w:type="dxa"/>
            <w:tcBorders>
              <w:top w:val="nil"/>
              <w:left w:val="single" w:sz="8" w:space="0" w:color="E0E0E0"/>
              <w:bottom w:val="single" w:sz="8" w:space="0" w:color="E0E0E0"/>
              <w:right w:val="nil"/>
            </w:tcBorders>
            <w:hideMark/>
          </w:tcPr>
          <w:p w:rsidR="00370B21" w:rsidRPr="00370B21" w:rsidRDefault="00370B21" w:rsidP="006743D9">
            <w:pPr>
              <w:rPr>
                <w:rFonts w:ascii="Times New Roman" w:hAnsi="Times New Roman"/>
                <w:sz w:val="28"/>
                <w:szCs w:val="28"/>
              </w:rPr>
            </w:pPr>
            <w:r w:rsidRPr="00370B21">
              <w:rPr>
                <w:rFonts w:ascii="Times New Roman" w:hAnsi="Times New Roman"/>
                <w:sz w:val="28"/>
                <w:szCs w:val="28"/>
              </w:rPr>
              <w:t>от 2,5 до 5,45</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Почетные</w:t>
            </w:r>
          </w:p>
        </w:tc>
        <w:tc>
          <w:tcPr>
            <w:tcW w:w="172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5</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r>
      <w:tr w:rsidR="00370B21" w:rsidRPr="00370B21" w:rsidTr="006743D9">
        <w:tc>
          <w:tcPr>
            <w:tcW w:w="544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Воинские</w:t>
            </w:r>
          </w:p>
        </w:tc>
        <w:tc>
          <w:tcPr>
            <w:tcW w:w="1725" w:type="dxa"/>
            <w:tcBorders>
              <w:top w:val="nil"/>
              <w:left w:val="single" w:sz="8" w:space="0" w:color="E0E0E0"/>
              <w:bottom w:val="single" w:sz="8" w:space="0" w:color="E0E0E0"/>
              <w:right w:val="nil"/>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1,80</w:t>
            </w:r>
          </w:p>
        </w:tc>
        <w:tc>
          <w:tcPr>
            <w:tcW w:w="1443" w:type="dxa"/>
            <w:tcBorders>
              <w:top w:val="nil"/>
              <w:left w:val="single" w:sz="8" w:space="0" w:color="E0E0E0"/>
              <w:bottom w:val="single" w:sz="8" w:space="0" w:color="E0E0E0"/>
              <w:right w:val="single" w:sz="8" w:space="0" w:color="E0E0E0"/>
            </w:tcBorders>
            <w:hideMark/>
          </w:tcPr>
          <w:p w:rsidR="00370B21" w:rsidRPr="00370B21" w:rsidRDefault="00370B21" w:rsidP="006743D9">
            <w:pPr>
              <w:ind w:firstLine="567"/>
              <w:rPr>
                <w:rFonts w:ascii="Times New Roman" w:hAnsi="Times New Roman"/>
                <w:sz w:val="28"/>
                <w:szCs w:val="28"/>
              </w:rPr>
            </w:pPr>
            <w:r w:rsidRPr="00370B21">
              <w:rPr>
                <w:rFonts w:ascii="Times New Roman" w:hAnsi="Times New Roman"/>
                <w:sz w:val="28"/>
                <w:szCs w:val="28"/>
              </w:rPr>
              <w:t>2,20</w:t>
            </w:r>
          </w:p>
        </w:tc>
      </w:tr>
    </w:tbl>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Глубина захоронения от 1,5м. до 2м.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2.6. У главного входа на территорию кладбища устанавливается стенд со схематическим планом кладбища. На схематическом плане обозначаются основные кварталы (участки)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2.7. На территории кладбища посетители должны соблюдать общественный порядок и тишину.</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  На территории кладбища запрещается: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2.8.1. движение транспорта, не связанного с оказанием ритуальных услуг;</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2.8.2. причинять вред надмогильным сооружениям, оборудованию, сооружениям и зданиям, зеленым насаждениям, расположенным на кладбище;</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2.8.3. выгуливать собак, пасти домашних животных, ловить птиц;</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2.8.5. находиться на территории кладбища после его закрытия;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2.8.6. оставлять строительные материалы и мусор после обустройства могил и надмогильных сооружений.</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2.8.7.осуществлять торговую деятельность в неустановленных местах.</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2.9.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2.10. Эксгумация останков умерших должна производиться </w:t>
      </w:r>
      <w:proofErr w:type="gramStart"/>
      <w:r w:rsidRPr="00370B21">
        <w:rPr>
          <w:rFonts w:ascii="Times New Roman" w:hAnsi="Times New Roman"/>
          <w:sz w:val="28"/>
          <w:szCs w:val="28"/>
        </w:rPr>
        <w:t>согласно</w:t>
      </w:r>
      <w:proofErr w:type="gramEnd"/>
      <w:r w:rsidRPr="00370B21">
        <w:rPr>
          <w:rFonts w:ascii="Times New Roman" w:hAnsi="Times New Roman"/>
          <w:sz w:val="28"/>
          <w:szCs w:val="28"/>
        </w:rPr>
        <w:t xml:space="preserve"> действующего законодательства и в соответствии с требованиями санитарных и экологических норм.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2.11.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2.12. Разрешение на извлечение останков из могилы и перевоз их на другое место оформляется Поселением.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2.13.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2.14. При проведении эксгумации по требованию уполномоченных органов ее порядок устанавливается в соответствии с действующим законодательством.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2.15.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15 лет.</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2.16.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2.17.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2.18.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370B21" w:rsidRPr="00370B21" w:rsidRDefault="00370B21" w:rsidP="00370B21">
      <w:pPr>
        <w:ind w:firstLine="567"/>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3. Порядок создания и деятельности специализированной службы по</w:t>
      </w:r>
      <w:r w:rsidRPr="00370B21">
        <w:rPr>
          <w:rFonts w:ascii="Times New Roman" w:hAnsi="Times New Roman"/>
          <w:sz w:val="28"/>
          <w:szCs w:val="28"/>
        </w:rPr>
        <w:br/>
        <w:t>вопросам похоронного дела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3.1. Специализированная служба по вопросам похоронного дела создается по решению   Исполнительного комитета Большешурнякского сельского поселения Елабужского муниципального района Республики Татарстан 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 Исполком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связанной с похоронным делом.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 </w:t>
      </w:r>
      <w:hyperlink r:id="rId11" w:history="1">
        <w:r w:rsidRPr="00370B21">
          <w:rPr>
            <w:rStyle w:val="a5"/>
            <w:rFonts w:ascii="Times New Roman" w:hAnsi="Times New Roman"/>
            <w:sz w:val="28"/>
            <w:szCs w:val="28"/>
          </w:rPr>
          <w:t>Закон</w:t>
        </w:r>
      </w:hyperlink>
      <w:r w:rsidRPr="00370B21">
        <w:rPr>
          <w:rFonts w:ascii="Times New Roman" w:hAnsi="Times New Roman"/>
          <w:sz w:val="28"/>
          <w:szCs w:val="28"/>
        </w:rPr>
        <w:t xml:space="preserve"> Российской Федерации «О защите прав потребителей», </w:t>
      </w:r>
      <w:hyperlink r:id="rId12" w:history="1">
        <w:r w:rsidRPr="00370B21">
          <w:rPr>
            <w:rStyle w:val="a5"/>
            <w:rFonts w:ascii="Times New Roman" w:hAnsi="Times New Roman"/>
            <w:sz w:val="28"/>
            <w:szCs w:val="28"/>
          </w:rPr>
          <w:t>Правила</w:t>
        </w:r>
      </w:hyperlink>
      <w:r w:rsidRPr="00370B21">
        <w:rPr>
          <w:rFonts w:ascii="Times New Roman" w:hAnsi="Times New Roman"/>
          <w:sz w:val="28"/>
          <w:szCs w:val="28"/>
        </w:rPr>
        <w:t xml:space="preserve"> бытового обслуживания населения, утвержденные Правительством Российской Федерации;</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порядок деятельности кладбищ и правила содержания мест погребения;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информация о стоимости услуг и предметов ритуала;</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образцы изготавливаемых и реализуемых изделий;</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образцы типовых документов, оформляемых при приеме заказов и оплате ритуальных услуг.</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Перевозка (транспортировка) тел (останков) умерших в морг (</w:t>
      </w:r>
      <w:proofErr w:type="spellStart"/>
      <w:r w:rsidRPr="00370B21">
        <w:rPr>
          <w:rFonts w:ascii="Times New Roman" w:hAnsi="Times New Roman"/>
          <w:sz w:val="28"/>
          <w:szCs w:val="28"/>
        </w:rPr>
        <w:t>трупохранилище</w:t>
      </w:r>
      <w:proofErr w:type="spellEnd"/>
      <w:r w:rsidRPr="00370B21">
        <w:rPr>
          <w:rFonts w:ascii="Times New Roman" w:hAnsi="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3.6. </w:t>
      </w:r>
      <w:proofErr w:type="gramStart"/>
      <w:r w:rsidRPr="00370B21">
        <w:rPr>
          <w:rFonts w:ascii="Times New Roman" w:hAnsi="Times New Roman"/>
          <w:sz w:val="28"/>
          <w:szCs w:val="28"/>
        </w:rPr>
        <w:t>Услуги по погребению, гарантированные законодательством, оказываются специализированной службой по вопросам похоронного дела по заявлению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370B21">
        <w:rPr>
          <w:rFonts w:ascii="Times New Roman" w:hAnsi="Times New Roman"/>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Лицам,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xml:space="preserve">3.8. </w:t>
      </w:r>
      <w:proofErr w:type="gramStart"/>
      <w:r w:rsidRPr="00370B21">
        <w:rPr>
          <w:rFonts w:ascii="Times New Roman" w:hAnsi="Times New Roman"/>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3.9.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370B21" w:rsidRPr="00370B21" w:rsidRDefault="00370B21" w:rsidP="00370B21">
      <w:pP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4. Ответственность за нарушение настоящего Положения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4.1. 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4.2. 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370B21" w:rsidRPr="00370B21" w:rsidRDefault="00370B21" w:rsidP="00370B21">
      <w:pPr>
        <w:rPr>
          <w:rFonts w:ascii="Times New Roman" w:hAnsi="Times New Roman"/>
          <w:sz w:val="28"/>
          <w:szCs w:val="28"/>
        </w:rPr>
      </w:pPr>
    </w:p>
    <w:p w:rsidR="00370B21" w:rsidRPr="00370B21" w:rsidRDefault="00370B21" w:rsidP="00370B21">
      <w:pPr>
        <w:jc w:val="center"/>
        <w:rPr>
          <w:rFonts w:ascii="Times New Roman" w:hAnsi="Times New Roman"/>
          <w:sz w:val="28"/>
          <w:szCs w:val="28"/>
        </w:rPr>
      </w:pPr>
      <w:r w:rsidRPr="00370B21">
        <w:rPr>
          <w:rFonts w:ascii="Times New Roman" w:hAnsi="Times New Roman"/>
          <w:sz w:val="28"/>
          <w:szCs w:val="28"/>
        </w:rPr>
        <w:t>5. Заключительные положения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5.1. Содержание мест захоронения (погребения)  на территории муниципального образования «</w:t>
      </w:r>
      <w:proofErr w:type="spellStart"/>
      <w:r w:rsidRPr="00370B21">
        <w:rPr>
          <w:rFonts w:ascii="Times New Roman" w:hAnsi="Times New Roman"/>
          <w:sz w:val="28"/>
          <w:szCs w:val="28"/>
        </w:rPr>
        <w:t>Большешурнякское</w:t>
      </w:r>
      <w:proofErr w:type="spellEnd"/>
      <w:r w:rsidRPr="00370B21">
        <w:rPr>
          <w:rFonts w:ascii="Times New Roman" w:hAnsi="Times New Roman"/>
          <w:sz w:val="28"/>
          <w:szCs w:val="28"/>
        </w:rPr>
        <w:t xml:space="preserve"> сельское поселение» является расходным обязательством муниципального района и финансируется за счет средств, предусмотренных в бюджете Поселения.</w:t>
      </w:r>
    </w:p>
    <w:p w:rsidR="00370B21" w:rsidRPr="00370B21" w:rsidRDefault="00370B21" w:rsidP="00370B21">
      <w:pPr>
        <w:ind w:firstLine="567"/>
        <w:rPr>
          <w:rFonts w:ascii="Times New Roman" w:hAnsi="Times New Roman"/>
          <w:sz w:val="28"/>
          <w:szCs w:val="28"/>
        </w:rPr>
      </w:pPr>
      <w:r w:rsidRPr="00370B21">
        <w:rPr>
          <w:rFonts w:ascii="Times New Roman" w:hAnsi="Times New Roman"/>
          <w:sz w:val="28"/>
          <w:szCs w:val="28"/>
        </w:rPr>
        <w:t>  5.2.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370B21" w:rsidRPr="00B01CD8" w:rsidRDefault="00370B21" w:rsidP="00370B21">
      <w:pPr>
        <w:rPr>
          <w:sz w:val="28"/>
          <w:szCs w:val="28"/>
        </w:rPr>
      </w:pPr>
    </w:p>
    <w:p w:rsidR="00370B21" w:rsidRPr="00B01CD8" w:rsidRDefault="00370B21" w:rsidP="00370B21">
      <w:pPr>
        <w:rPr>
          <w:sz w:val="28"/>
          <w:szCs w:val="28"/>
        </w:rPr>
      </w:pPr>
    </w:p>
    <w:p w:rsidR="00370B21" w:rsidRPr="00370B21" w:rsidRDefault="00370B21" w:rsidP="00D63729">
      <w:pPr>
        <w:rPr>
          <w:rFonts w:ascii="Times New Roman" w:eastAsia="Calibri" w:hAnsi="Times New Roman"/>
          <w:color w:val="000000" w:themeColor="text1"/>
          <w:sz w:val="28"/>
          <w:szCs w:val="28"/>
        </w:rPr>
      </w:pPr>
    </w:p>
    <w:p w:rsidR="00ED3D67" w:rsidRDefault="00ED3D67" w:rsidP="00D63729">
      <w:pPr>
        <w:rPr>
          <w:rFonts w:ascii="Times New Roman" w:eastAsia="Calibri" w:hAnsi="Times New Roman"/>
          <w:color w:val="000000" w:themeColor="text1"/>
          <w:sz w:val="28"/>
          <w:szCs w:val="28"/>
          <w:lang w:val="tt-RU"/>
        </w:rPr>
      </w:pPr>
    </w:p>
    <w:sectPr w:rsidR="00ED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29"/>
    <w:rsid w:val="001575DE"/>
    <w:rsid w:val="00370B21"/>
    <w:rsid w:val="00402426"/>
    <w:rsid w:val="00411D63"/>
    <w:rsid w:val="005C591C"/>
    <w:rsid w:val="00692CEF"/>
    <w:rsid w:val="00A16026"/>
    <w:rsid w:val="00AA0F1F"/>
    <w:rsid w:val="00D63729"/>
    <w:rsid w:val="00EC6631"/>
    <w:rsid w:val="00ED3D67"/>
    <w:rsid w:val="00F6370E"/>
    <w:rsid w:val="00F653AA"/>
    <w:rsid w:val="00F8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29"/>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729"/>
    <w:rPr>
      <w:rFonts w:ascii="Tahoma" w:hAnsi="Tahoma" w:cs="Tahoma"/>
      <w:sz w:val="16"/>
      <w:szCs w:val="16"/>
    </w:rPr>
  </w:style>
  <w:style w:type="character" w:customStyle="1" w:styleId="a4">
    <w:name w:val="Текст выноски Знак"/>
    <w:basedOn w:val="a0"/>
    <w:link w:val="a3"/>
    <w:uiPriority w:val="99"/>
    <w:semiHidden/>
    <w:rsid w:val="00D63729"/>
    <w:rPr>
      <w:rFonts w:ascii="Tahoma" w:eastAsia="Times New Roman" w:hAnsi="Tahoma" w:cs="Tahoma"/>
      <w:sz w:val="16"/>
      <w:szCs w:val="16"/>
    </w:rPr>
  </w:style>
  <w:style w:type="paragraph" w:styleId="2">
    <w:name w:val="Body Text 2"/>
    <w:basedOn w:val="a"/>
    <w:link w:val="20"/>
    <w:semiHidden/>
    <w:unhideWhenUsed/>
    <w:rsid w:val="001575DE"/>
    <w:pPr>
      <w:spacing w:after="120" w:line="480" w:lineRule="auto"/>
      <w:ind w:firstLine="0"/>
      <w:jc w:val="left"/>
    </w:pPr>
    <w:rPr>
      <w:rFonts w:ascii="Times New Roman" w:hAnsi="Times New Roman"/>
      <w:sz w:val="24"/>
      <w:szCs w:val="24"/>
      <w:lang w:val="x-none" w:eastAsia="x-none"/>
    </w:rPr>
  </w:style>
  <w:style w:type="character" w:customStyle="1" w:styleId="20">
    <w:name w:val="Основной текст 2 Знак"/>
    <w:basedOn w:val="a0"/>
    <w:link w:val="2"/>
    <w:semiHidden/>
    <w:rsid w:val="001575DE"/>
    <w:rPr>
      <w:rFonts w:ascii="Times New Roman" w:eastAsia="Times New Roman" w:hAnsi="Times New Roman" w:cs="Times New Roman"/>
      <w:sz w:val="24"/>
      <w:szCs w:val="24"/>
      <w:lang w:val="x-none" w:eastAsia="x-none"/>
    </w:rPr>
  </w:style>
  <w:style w:type="paragraph" w:customStyle="1" w:styleId="1">
    <w:name w:val="Абзац списка1"/>
    <w:basedOn w:val="a"/>
    <w:rsid w:val="001575DE"/>
    <w:pPr>
      <w:widowControl w:val="0"/>
      <w:suppressAutoHyphens/>
      <w:ind w:left="720" w:firstLine="0"/>
      <w:jc w:val="left"/>
    </w:pPr>
    <w:rPr>
      <w:rFonts w:ascii="Times New Roman" w:eastAsia="Arial Unicode MS" w:hAnsi="Times New Roman"/>
      <w:kern w:val="2"/>
      <w:sz w:val="24"/>
      <w:szCs w:val="24"/>
      <w:lang w:eastAsia="ru-RU"/>
    </w:rPr>
  </w:style>
  <w:style w:type="character" w:styleId="a5">
    <w:name w:val="Hyperlink"/>
    <w:rsid w:val="00370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29"/>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729"/>
    <w:rPr>
      <w:rFonts w:ascii="Tahoma" w:hAnsi="Tahoma" w:cs="Tahoma"/>
      <w:sz w:val="16"/>
      <w:szCs w:val="16"/>
    </w:rPr>
  </w:style>
  <w:style w:type="character" w:customStyle="1" w:styleId="a4">
    <w:name w:val="Текст выноски Знак"/>
    <w:basedOn w:val="a0"/>
    <w:link w:val="a3"/>
    <w:uiPriority w:val="99"/>
    <w:semiHidden/>
    <w:rsid w:val="00D63729"/>
    <w:rPr>
      <w:rFonts w:ascii="Tahoma" w:eastAsia="Times New Roman" w:hAnsi="Tahoma" w:cs="Tahoma"/>
      <w:sz w:val="16"/>
      <w:szCs w:val="16"/>
    </w:rPr>
  </w:style>
  <w:style w:type="paragraph" w:styleId="2">
    <w:name w:val="Body Text 2"/>
    <w:basedOn w:val="a"/>
    <w:link w:val="20"/>
    <w:semiHidden/>
    <w:unhideWhenUsed/>
    <w:rsid w:val="001575DE"/>
    <w:pPr>
      <w:spacing w:after="120" w:line="480" w:lineRule="auto"/>
      <w:ind w:firstLine="0"/>
      <w:jc w:val="left"/>
    </w:pPr>
    <w:rPr>
      <w:rFonts w:ascii="Times New Roman" w:hAnsi="Times New Roman"/>
      <w:sz w:val="24"/>
      <w:szCs w:val="24"/>
      <w:lang w:val="x-none" w:eastAsia="x-none"/>
    </w:rPr>
  </w:style>
  <w:style w:type="character" w:customStyle="1" w:styleId="20">
    <w:name w:val="Основной текст 2 Знак"/>
    <w:basedOn w:val="a0"/>
    <w:link w:val="2"/>
    <w:semiHidden/>
    <w:rsid w:val="001575DE"/>
    <w:rPr>
      <w:rFonts w:ascii="Times New Roman" w:eastAsia="Times New Roman" w:hAnsi="Times New Roman" w:cs="Times New Roman"/>
      <w:sz w:val="24"/>
      <w:szCs w:val="24"/>
      <w:lang w:val="x-none" w:eastAsia="x-none"/>
    </w:rPr>
  </w:style>
  <w:style w:type="paragraph" w:customStyle="1" w:styleId="1">
    <w:name w:val="Абзац списка1"/>
    <w:basedOn w:val="a"/>
    <w:rsid w:val="001575DE"/>
    <w:pPr>
      <w:widowControl w:val="0"/>
      <w:suppressAutoHyphens/>
      <w:ind w:left="720" w:firstLine="0"/>
      <w:jc w:val="left"/>
    </w:pPr>
    <w:rPr>
      <w:rFonts w:ascii="Times New Roman" w:eastAsia="Arial Unicode MS" w:hAnsi="Times New Roman"/>
      <w:kern w:val="2"/>
      <w:sz w:val="24"/>
      <w:szCs w:val="24"/>
      <w:lang w:eastAsia="ru-RU"/>
    </w:rPr>
  </w:style>
  <w:style w:type="character" w:styleId="a5">
    <w:name w:val="Hyperlink"/>
    <w:rsid w:val="00370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192">
      <w:bodyDiv w:val="1"/>
      <w:marLeft w:val="0"/>
      <w:marRight w:val="0"/>
      <w:marTop w:val="0"/>
      <w:marBottom w:val="0"/>
      <w:divBdr>
        <w:top w:val="none" w:sz="0" w:space="0" w:color="auto"/>
        <w:left w:val="none" w:sz="0" w:space="0" w:color="auto"/>
        <w:bottom w:val="none" w:sz="0" w:space="0" w:color="auto"/>
        <w:right w:val="none" w:sz="0" w:space="0" w:color="auto"/>
      </w:divBdr>
    </w:div>
    <w:div w:id="11484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87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86367.0/" TargetMode="External"/><Relationship Id="rId12" Type="http://schemas.openxmlformats.org/officeDocument/2006/relationships/hyperlink" Target="http://66148.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0006035.0/" TargetMode="External"/><Relationship Id="rId5" Type="http://schemas.openxmlformats.org/officeDocument/2006/relationships/webSettings" Target="webSettings.xml"/><Relationship Id="rId10" Type="http://schemas.openxmlformats.org/officeDocument/2006/relationships/hyperlink" Target="http://15610900.1000/" TargetMode="External"/><Relationship Id="rId4" Type="http://schemas.openxmlformats.org/officeDocument/2006/relationships/settings" Target="settings.xml"/><Relationship Id="rId9" Type="http://schemas.openxmlformats.org/officeDocument/2006/relationships/hyperlink" Target="http://35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C173-0478-4670-88B6-2069B96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2017-11-16T05:15:00Z</cp:lastPrinted>
  <dcterms:created xsi:type="dcterms:W3CDTF">2017-11-16T05:12:00Z</dcterms:created>
  <dcterms:modified xsi:type="dcterms:W3CDTF">2017-11-16T05:19:00Z</dcterms:modified>
</cp:coreProperties>
</file>