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16240" w:rsidTr="00464BB4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240" w:rsidRDefault="00516240" w:rsidP="00464BB4">
            <w:pPr>
              <w:jc w:val="center"/>
              <w:rPr>
                <w:rFonts w:eastAsiaTheme="minorEastAsia"/>
                <w:lang w:eastAsia="en-US"/>
              </w:rPr>
            </w:pPr>
            <w:bookmarkStart w:id="0" w:name="_Toc459186648"/>
            <w:r>
              <w:rPr>
                <w:lang w:eastAsia="en-US"/>
              </w:rPr>
              <w:t>МКУ «ИСПОЛНИТЕЛЬНЫЙ КОМИТЕТ БОЛЬШЕШУРНЯКСКОГО СЕЛЬСКОГО ПОСЕЛЕНИЯ» ЕЛАБУЖСКОГО МУНИЦИПАЛЬНОГО РАЙОНА</w:t>
            </w:r>
          </w:p>
          <w:p w:rsidR="00516240" w:rsidRDefault="00516240" w:rsidP="00464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</w:t>
            </w:r>
          </w:p>
          <w:p w:rsidR="00516240" w:rsidRDefault="00516240" w:rsidP="00464BB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Школьная, д.1, с. Большой Шурняк, Елабужский район, 423617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240" w:rsidRDefault="00516240" w:rsidP="00464BB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BAE6642" wp14:editId="1C95F58E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240" w:rsidRDefault="00516240" w:rsidP="00464BB4">
            <w:pPr>
              <w:ind w:left="-12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ТАТАРСТАН  РЕСПУБЛИКАСЫ АЛАБУГА  МУНИЦИПАЛЬ РАЙОНЫ МКО «ОЛЫ ШУРНЯК АВЫЛ ЖИРЛЕГЕ</w:t>
            </w:r>
          </w:p>
          <w:p w:rsidR="00516240" w:rsidRDefault="00516240" w:rsidP="00464BB4">
            <w:pPr>
              <w:ind w:lef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БАШКАРМА            КОМИТЕТЫ»</w:t>
            </w:r>
          </w:p>
          <w:p w:rsidR="00516240" w:rsidRDefault="00516240" w:rsidP="00464BB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Мэктэб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ур.1, Олы Шурняк </w:t>
            </w:r>
            <w:proofErr w:type="spellStart"/>
            <w:r>
              <w:rPr>
                <w:sz w:val="20"/>
                <w:szCs w:val="20"/>
                <w:lang w:eastAsia="en-US"/>
              </w:rPr>
              <w:t>авылы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Алабуга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районы, 423617 </w:t>
            </w:r>
          </w:p>
        </w:tc>
      </w:tr>
      <w:tr w:rsidR="00516240" w:rsidTr="00464BB4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6240" w:rsidRPr="006E1524" w:rsidRDefault="006E1524" w:rsidP="00464BB4">
            <w:pPr>
              <w:spacing w:after="200" w:line="276" w:lineRule="auto"/>
              <w:jc w:val="center"/>
              <w:rPr>
                <w:rFonts w:eastAsiaTheme="minorEastAsia" w:cs="Times New Roman"/>
                <w:sz w:val="20"/>
                <w:szCs w:val="20"/>
                <w:lang w:eastAsia="en-US"/>
              </w:rPr>
            </w:pPr>
            <w:r w:rsidRPr="006E1524">
              <w:rPr>
                <w:rFonts w:cs="Times New Roman"/>
                <w:sz w:val="22"/>
                <w:szCs w:val="22"/>
              </w:rPr>
              <w:t xml:space="preserve">тел.(85557) </w:t>
            </w:r>
            <w:r w:rsidRPr="006E1524">
              <w:rPr>
                <w:rFonts w:cs="Times New Roman"/>
                <w:sz w:val="22"/>
                <w:szCs w:val="22"/>
                <w:lang w:val="tt-RU"/>
              </w:rPr>
              <w:t>7 46 74</w:t>
            </w:r>
            <w:r w:rsidRPr="006E1524">
              <w:rPr>
                <w:rFonts w:cs="Times New Roman"/>
                <w:sz w:val="22"/>
                <w:szCs w:val="22"/>
              </w:rPr>
              <w:t>, факс.(85557)</w:t>
            </w:r>
            <w:r w:rsidRPr="006E1524">
              <w:rPr>
                <w:rFonts w:cs="Times New Roman"/>
                <w:sz w:val="22"/>
                <w:szCs w:val="22"/>
                <w:lang w:val="tt-RU"/>
              </w:rPr>
              <w:t>7 46 74</w:t>
            </w:r>
            <w:r w:rsidRPr="006E1524">
              <w:rPr>
                <w:rFonts w:cs="Times New Roman"/>
                <w:sz w:val="22"/>
                <w:szCs w:val="22"/>
              </w:rPr>
              <w:t>, E-</w:t>
            </w:r>
            <w:proofErr w:type="spellStart"/>
            <w:r w:rsidRPr="006E1524">
              <w:rPr>
                <w:rFonts w:cs="Times New Roman"/>
                <w:sz w:val="22"/>
                <w:szCs w:val="22"/>
              </w:rPr>
              <w:t>mail</w:t>
            </w:r>
            <w:proofErr w:type="spellEnd"/>
            <w:r w:rsidRPr="006E1524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6E1524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Bsrn</w:t>
              </w:r>
              <w:r w:rsidRPr="006E152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6E1524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Elb</w:t>
              </w:r>
              <w:r w:rsidRPr="006E152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6E1524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tatar</w:t>
              </w:r>
              <w:r w:rsidRPr="006E152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.ru</w:t>
              </w:r>
            </w:hyperlink>
            <w:r w:rsidRPr="006E1524">
              <w:rPr>
                <w:rFonts w:cs="Times New Roman"/>
                <w:sz w:val="22"/>
                <w:szCs w:val="22"/>
              </w:rPr>
              <w:t>, сайт: www.elabugacity.ru</w:t>
            </w:r>
            <w:r w:rsidRPr="006E152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516240" w:rsidRPr="006E1524"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516240" w:rsidRDefault="00516240" w:rsidP="00516240">
      <w:pPr>
        <w:rPr>
          <w:rFonts w:eastAsiaTheme="minorEastAsia"/>
          <w:sz w:val="20"/>
          <w:szCs w:val="20"/>
        </w:rPr>
      </w:pPr>
      <w:bookmarkStart w:id="1" w:name="_GoBack"/>
      <w:bookmarkEnd w:id="1"/>
    </w:p>
    <w:p w:rsidR="00516240" w:rsidRDefault="00516240" w:rsidP="00516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</w:t>
      </w:r>
      <w:r>
        <w:rPr>
          <w:b/>
          <w:sz w:val="32"/>
          <w:szCs w:val="32"/>
          <w:lang w:val="be-BY"/>
        </w:rPr>
        <w:t xml:space="preserve">         </w:t>
      </w:r>
      <w:r>
        <w:rPr>
          <w:b/>
          <w:sz w:val="32"/>
          <w:szCs w:val="32"/>
        </w:rPr>
        <w:t xml:space="preserve">ПОСТАНОВЛЕНИЕ                              </w:t>
      </w:r>
    </w:p>
    <w:p w:rsidR="00516240" w:rsidRDefault="00516240" w:rsidP="00516240">
      <w:pPr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b/>
          <w:sz w:val="28"/>
          <w:szCs w:val="28"/>
        </w:rPr>
        <w:t xml:space="preserve"> №  19                                                                                «27» декабря 2016г.</w:t>
      </w:r>
    </w:p>
    <w:p w:rsidR="00516240" w:rsidRDefault="00516240" w:rsidP="00516240">
      <w:pPr>
        <w:jc w:val="center"/>
        <w:rPr>
          <w:b/>
          <w:sz w:val="28"/>
          <w:szCs w:val="28"/>
        </w:rPr>
      </w:pPr>
    </w:p>
    <w:p w:rsidR="00516240" w:rsidRDefault="00516240" w:rsidP="00516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516240" w:rsidRPr="00093322" w:rsidRDefault="00516240" w:rsidP="0051624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</w:t>
      </w:r>
      <w:r w:rsidRPr="00093322">
        <w:rPr>
          <w:b/>
          <w:color w:val="000000" w:themeColor="text1"/>
          <w:sz w:val="28"/>
          <w:szCs w:val="28"/>
        </w:rPr>
        <w:t xml:space="preserve">образования </w:t>
      </w:r>
      <w:proofErr w:type="spellStart"/>
      <w:r w:rsidRPr="00093322">
        <w:rPr>
          <w:b/>
          <w:color w:val="000000" w:themeColor="text1"/>
          <w:sz w:val="28"/>
          <w:szCs w:val="28"/>
        </w:rPr>
        <w:t>Большешурнякское</w:t>
      </w:r>
      <w:proofErr w:type="spellEnd"/>
      <w:r w:rsidRPr="00093322">
        <w:rPr>
          <w:b/>
          <w:color w:val="000000" w:themeColor="text1"/>
          <w:sz w:val="28"/>
          <w:szCs w:val="28"/>
        </w:rPr>
        <w:t xml:space="preserve"> сельское поселение Елабужского муниципального района на 2016-2018 годы»</w:t>
      </w:r>
    </w:p>
    <w:p w:rsidR="00516240" w:rsidRPr="00093322" w:rsidRDefault="00516240" w:rsidP="00516240">
      <w:pPr>
        <w:rPr>
          <w:i/>
          <w:color w:val="000000" w:themeColor="text1"/>
          <w:sz w:val="20"/>
          <w:szCs w:val="20"/>
        </w:rPr>
      </w:pPr>
    </w:p>
    <w:p w:rsidR="00464BB4" w:rsidRDefault="00464BB4" w:rsidP="00464BB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64BB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от 21.01.2010 № 7-ЗРТ «О развитии малого и среднего предпринимательства в Республике Татарстан»</w:t>
      </w:r>
    </w:p>
    <w:p w:rsidR="00516240" w:rsidRPr="00093322" w:rsidRDefault="00516240" w:rsidP="0051624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93322">
        <w:rPr>
          <w:b/>
          <w:color w:val="000000" w:themeColor="text1"/>
          <w:sz w:val="28"/>
          <w:szCs w:val="28"/>
        </w:rPr>
        <w:t>ПОСТАНОВЛЯЮ:</w:t>
      </w:r>
    </w:p>
    <w:p w:rsidR="00516240" w:rsidRPr="00093322" w:rsidRDefault="00516240" w:rsidP="00516240">
      <w:pPr>
        <w:spacing w:line="276" w:lineRule="auto"/>
        <w:jc w:val="both"/>
        <w:rPr>
          <w:i/>
          <w:color w:val="000000" w:themeColor="text1"/>
          <w:sz w:val="28"/>
          <w:szCs w:val="28"/>
        </w:rPr>
      </w:pPr>
    </w:p>
    <w:p w:rsidR="00516240" w:rsidRPr="00093322" w:rsidRDefault="00516240" w:rsidP="00516240">
      <w:pPr>
        <w:ind w:firstLine="708"/>
        <w:jc w:val="both"/>
        <w:rPr>
          <w:color w:val="000000" w:themeColor="text1"/>
          <w:sz w:val="28"/>
          <w:szCs w:val="28"/>
        </w:rPr>
      </w:pPr>
      <w:r w:rsidRPr="00093322">
        <w:rPr>
          <w:color w:val="000000" w:themeColor="text1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муниципального образования </w:t>
      </w:r>
      <w:proofErr w:type="spellStart"/>
      <w:r w:rsidRPr="00093322">
        <w:rPr>
          <w:color w:val="000000" w:themeColor="text1"/>
          <w:sz w:val="28"/>
          <w:szCs w:val="28"/>
        </w:rPr>
        <w:t>Большешурнякское</w:t>
      </w:r>
      <w:proofErr w:type="spellEnd"/>
      <w:r w:rsidRPr="00093322">
        <w:rPr>
          <w:color w:val="000000" w:themeColor="text1"/>
          <w:sz w:val="28"/>
          <w:szCs w:val="28"/>
        </w:rPr>
        <w:t xml:space="preserve"> сельское поселение Елабужского муниципального района на 2016-2018 годы» (приложение № 1).</w:t>
      </w:r>
    </w:p>
    <w:p w:rsidR="00516240" w:rsidRPr="00093322" w:rsidRDefault="00516240" w:rsidP="00516240">
      <w:pPr>
        <w:ind w:firstLine="708"/>
        <w:jc w:val="both"/>
        <w:rPr>
          <w:color w:val="000000" w:themeColor="text1"/>
          <w:sz w:val="28"/>
          <w:szCs w:val="28"/>
        </w:rPr>
      </w:pPr>
      <w:r w:rsidRPr="00093322">
        <w:rPr>
          <w:color w:val="000000" w:themeColor="text1"/>
          <w:sz w:val="28"/>
          <w:szCs w:val="28"/>
        </w:rPr>
        <w:t xml:space="preserve">2.  Муниципальную программу «Развитие субъектов малого и среднего предпринимательства муниципального образования </w:t>
      </w:r>
      <w:proofErr w:type="spellStart"/>
      <w:r w:rsidRPr="00093322">
        <w:rPr>
          <w:color w:val="000000" w:themeColor="text1"/>
          <w:sz w:val="28"/>
          <w:szCs w:val="28"/>
        </w:rPr>
        <w:t>Большешурнякское</w:t>
      </w:r>
      <w:proofErr w:type="spellEnd"/>
      <w:r w:rsidRPr="00093322">
        <w:rPr>
          <w:color w:val="000000" w:themeColor="text1"/>
          <w:sz w:val="28"/>
          <w:szCs w:val="28"/>
        </w:rPr>
        <w:t xml:space="preserve"> сельское поселение Елабужского муниципального района на 2016-2018 годы» разместить на официальном сайте муниципального образования.</w:t>
      </w:r>
    </w:p>
    <w:p w:rsidR="00516240" w:rsidRPr="00093322" w:rsidRDefault="00516240" w:rsidP="0051624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093322">
        <w:rPr>
          <w:color w:val="000000" w:themeColor="text1"/>
          <w:sz w:val="28"/>
          <w:szCs w:val="28"/>
        </w:rPr>
        <w:t>3. Настоящее постановление вступает в силу с момента его обнародования.</w:t>
      </w:r>
    </w:p>
    <w:p w:rsidR="00516240" w:rsidRPr="00093322" w:rsidRDefault="00516240" w:rsidP="0051624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093322">
        <w:rPr>
          <w:color w:val="000000" w:themeColor="text1"/>
          <w:sz w:val="28"/>
          <w:szCs w:val="28"/>
        </w:rPr>
        <w:t xml:space="preserve">4. </w:t>
      </w:r>
      <w:proofErr w:type="gramStart"/>
      <w:r w:rsidRPr="00093322">
        <w:rPr>
          <w:color w:val="000000" w:themeColor="text1"/>
          <w:sz w:val="28"/>
          <w:szCs w:val="28"/>
        </w:rPr>
        <w:t>Контроль за</w:t>
      </w:r>
      <w:proofErr w:type="gramEnd"/>
      <w:r w:rsidRPr="00093322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516240" w:rsidRPr="00093322" w:rsidRDefault="00464BB4" w:rsidP="00516240">
      <w:pPr>
        <w:jc w:val="both"/>
        <w:rPr>
          <w:color w:val="000000" w:themeColor="text1"/>
          <w:sz w:val="28"/>
          <w:szCs w:val="28"/>
        </w:rPr>
      </w:pPr>
      <w:r w:rsidRPr="00093322">
        <w:rPr>
          <w:b/>
          <w:color w:val="000000" w:themeColor="text1"/>
          <w:sz w:val="28"/>
          <w:szCs w:val="28"/>
        </w:rPr>
        <w:t xml:space="preserve">Руководитель                                                                               Н.Я. </w:t>
      </w:r>
      <w:proofErr w:type="spellStart"/>
      <w:r w:rsidRPr="00093322">
        <w:rPr>
          <w:b/>
          <w:color w:val="000000" w:themeColor="text1"/>
          <w:sz w:val="28"/>
          <w:szCs w:val="28"/>
        </w:rPr>
        <w:t>Каи</w:t>
      </w:r>
      <w:r>
        <w:rPr>
          <w:b/>
          <w:sz w:val="28"/>
          <w:szCs w:val="28"/>
        </w:rPr>
        <w:t>шев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</w:p>
    <w:p w:rsidR="00516240" w:rsidRPr="00093322" w:rsidRDefault="00516240" w:rsidP="00516240">
      <w:pPr>
        <w:rPr>
          <w:b/>
          <w:color w:val="000000" w:themeColor="text1"/>
          <w:sz w:val="28"/>
          <w:szCs w:val="28"/>
        </w:rPr>
      </w:pPr>
    </w:p>
    <w:p w:rsidR="00C63130" w:rsidRDefault="00516240" w:rsidP="005162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="00C63130">
        <w:rPr>
          <w:rFonts w:cs="Times New Roman"/>
          <w:sz w:val="22"/>
          <w:szCs w:val="22"/>
        </w:rPr>
        <w:t xml:space="preserve">Приложение к постановлению Исполнительного комитета </w:t>
      </w:r>
    </w:p>
    <w:p w:rsidR="00C63130" w:rsidRDefault="00C63130" w:rsidP="00C6313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«</w:t>
      </w:r>
      <w:proofErr w:type="spellStart"/>
      <w:r>
        <w:rPr>
          <w:rFonts w:cs="Times New Roman"/>
          <w:sz w:val="22"/>
          <w:szCs w:val="22"/>
        </w:rPr>
        <w:t>Большешурнякское</w:t>
      </w:r>
      <w:proofErr w:type="spellEnd"/>
      <w:r>
        <w:rPr>
          <w:rFonts w:cs="Times New Roman"/>
          <w:sz w:val="22"/>
          <w:szCs w:val="22"/>
        </w:rPr>
        <w:t xml:space="preserve"> сельское поселение» </w:t>
      </w:r>
    </w:p>
    <w:p w:rsidR="00C63130" w:rsidRDefault="00C63130" w:rsidP="00C6313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от «27» декабря 2016 года № 19</w:t>
      </w:r>
    </w:p>
    <w:p w:rsidR="00C63130" w:rsidRDefault="00C63130" w:rsidP="00C63130"/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БОЛЬШЕШУРНЯКСКОЕ СЕЛЬСКОЕ ПОСЕЛЕНИЕ ЕЛАБУЖСКОГО МУНИЦИПАЛЬНОГО РАЙОНА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2016 - 2018 ГОДЫ» </w:t>
      </w:r>
    </w:p>
    <w:p w:rsidR="00C63130" w:rsidRDefault="00C63130" w:rsidP="00C63130">
      <w:pPr>
        <w:rPr>
          <w:szCs w:val="72"/>
        </w:rPr>
      </w:pPr>
    </w:p>
    <w:p w:rsidR="00C63130" w:rsidRDefault="00C63130" w:rsidP="00C63130"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>
            <wp:extent cx="5476875" cy="3219450"/>
            <wp:effectExtent l="0" t="0" r="9525" b="0"/>
            <wp:docPr id="1" name="Рисунок 1" descr="Описание: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30" w:rsidRDefault="00C63130" w:rsidP="001C4CEE">
      <w:pPr>
        <w:jc w:val="center"/>
        <w:rPr>
          <w:b/>
          <w:sz w:val="28"/>
          <w:szCs w:val="28"/>
        </w:rPr>
      </w:pPr>
    </w:p>
    <w:p w:rsidR="00C63130" w:rsidRDefault="00C63130" w:rsidP="001C4CEE">
      <w:pPr>
        <w:jc w:val="center"/>
        <w:rPr>
          <w:b/>
          <w:sz w:val="28"/>
          <w:szCs w:val="28"/>
        </w:rPr>
      </w:pPr>
    </w:p>
    <w:p w:rsidR="00C63130" w:rsidRDefault="00C63130" w:rsidP="001C4CEE">
      <w:pPr>
        <w:jc w:val="center"/>
        <w:rPr>
          <w:b/>
          <w:sz w:val="28"/>
          <w:szCs w:val="28"/>
        </w:rPr>
      </w:pPr>
    </w:p>
    <w:p w:rsidR="00C63130" w:rsidRDefault="00C63130" w:rsidP="001C4CEE">
      <w:pPr>
        <w:jc w:val="center"/>
        <w:rPr>
          <w:b/>
          <w:sz w:val="28"/>
          <w:szCs w:val="28"/>
        </w:rPr>
      </w:pPr>
    </w:p>
    <w:p w:rsidR="001C4CEE" w:rsidRDefault="001C4CEE" w:rsidP="001C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C4CEE" w:rsidRDefault="001C4CEE" w:rsidP="001C4CEE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r>
        <w:fldChar w:fldCharType="begin"/>
      </w:r>
      <w:r>
        <w:rPr>
          <w:rFonts w:cs="Times New Roman"/>
          <w:sz w:val="28"/>
          <w:szCs w:val="28"/>
        </w:rPr>
        <w:instrText xml:space="preserve"> TOC \o "1-3" \h \z \u </w:instrText>
      </w:r>
      <w:r>
        <w:fldChar w:fldCharType="separate"/>
      </w:r>
      <w:hyperlink r:id="rId10" w:anchor="_Toc459642447" w:history="1">
        <w:r>
          <w:rPr>
            <w:rStyle w:val="a3"/>
            <w:noProof/>
            <w:color w:val="000000"/>
            <w:szCs w:val="28"/>
          </w:rPr>
          <w:t>Паспорт Программы</w:t>
        </w:r>
        <w:r>
          <w:rPr>
            <w:rStyle w:val="a3"/>
            <w:noProof/>
            <w:webHidden/>
            <w:color w:val="000000"/>
            <w:szCs w:val="28"/>
          </w:rPr>
          <w:tab/>
        </w:r>
        <w:r>
          <w:rPr>
            <w:rStyle w:val="a3"/>
            <w:color w:val="000000"/>
          </w:rPr>
          <w:fldChar w:fldCharType="begin"/>
        </w:r>
        <w:r>
          <w:rPr>
            <w:rStyle w:val="a3"/>
            <w:noProof/>
            <w:webHidden/>
            <w:color w:val="000000"/>
            <w:szCs w:val="28"/>
          </w:rPr>
          <w:instrText xml:space="preserve"> PAGEREF _Toc459642447 \h </w:instrText>
        </w:r>
        <w:r>
          <w:rPr>
            <w:rStyle w:val="a3"/>
            <w:color w:val="000000"/>
          </w:rPr>
        </w:r>
        <w:r>
          <w:rPr>
            <w:rStyle w:val="a3"/>
            <w:color w:val="000000"/>
          </w:rPr>
          <w:fldChar w:fldCharType="separate"/>
        </w:r>
        <w:r w:rsidR="006E1524">
          <w:rPr>
            <w:rStyle w:val="a3"/>
            <w:noProof/>
            <w:webHidden/>
            <w:color w:val="000000"/>
            <w:szCs w:val="28"/>
          </w:rPr>
          <w:t>4</w:t>
        </w:r>
        <w:r>
          <w:rPr>
            <w:rStyle w:val="a3"/>
            <w:color w:val="000000"/>
          </w:rPr>
          <w:fldChar w:fldCharType="end"/>
        </w:r>
      </w:hyperlink>
    </w:p>
    <w:p w:rsidR="001C4CEE" w:rsidRDefault="006E1524" w:rsidP="001C4CEE">
      <w:pPr>
        <w:pStyle w:val="11"/>
        <w:tabs>
          <w:tab w:val="left" w:pos="440"/>
          <w:tab w:val="right" w:leader="dot" w:pos="9679"/>
        </w:tabs>
        <w:rPr>
          <w:rFonts w:cs="Times New Roman"/>
          <w:noProof/>
          <w:sz w:val="28"/>
          <w:szCs w:val="28"/>
        </w:rPr>
      </w:pPr>
      <w:hyperlink r:id="rId11" w:anchor="_Toc459642448" w:history="1">
        <w:r w:rsidR="001C4CEE">
          <w:rPr>
            <w:rStyle w:val="a3"/>
            <w:noProof/>
            <w:color w:val="000000"/>
            <w:szCs w:val="28"/>
          </w:rPr>
          <w:t>I.</w:t>
        </w:r>
        <w:r w:rsidR="001C4CEE">
          <w:rPr>
            <w:rStyle w:val="a3"/>
            <w:noProof/>
            <w:color w:val="000000"/>
            <w:szCs w:val="28"/>
          </w:rPr>
          <w:tab/>
          <w:t>Характеристика сферы реализации Программы, проблемы и пути их решения</w:t>
        </w:r>
        <w:r w:rsidR="001C4CEE">
          <w:rPr>
            <w:rStyle w:val="a3"/>
            <w:noProof/>
            <w:webHidden/>
            <w:color w:val="000000"/>
            <w:szCs w:val="28"/>
          </w:rPr>
          <w:tab/>
        </w:r>
        <w:r w:rsidR="001C4CEE">
          <w:rPr>
            <w:rStyle w:val="a3"/>
            <w:color w:val="000000"/>
          </w:rPr>
          <w:fldChar w:fldCharType="begin"/>
        </w:r>
        <w:r w:rsidR="001C4CEE">
          <w:rPr>
            <w:rStyle w:val="a3"/>
            <w:noProof/>
            <w:webHidden/>
            <w:color w:val="000000"/>
            <w:szCs w:val="28"/>
          </w:rPr>
          <w:instrText xml:space="preserve"> PAGEREF _Toc459642448 \h </w:instrText>
        </w:r>
        <w:r w:rsidR="001C4CEE">
          <w:rPr>
            <w:rStyle w:val="a3"/>
            <w:color w:val="000000"/>
          </w:rPr>
        </w:r>
        <w:r w:rsidR="001C4CEE">
          <w:rPr>
            <w:rStyle w:val="a3"/>
            <w:color w:val="000000"/>
          </w:rPr>
          <w:fldChar w:fldCharType="separate"/>
        </w:r>
        <w:r>
          <w:rPr>
            <w:rStyle w:val="a3"/>
            <w:noProof/>
            <w:webHidden/>
            <w:color w:val="000000"/>
            <w:szCs w:val="28"/>
          </w:rPr>
          <w:t>6</w:t>
        </w:r>
        <w:r w:rsidR="001C4CEE">
          <w:rPr>
            <w:rStyle w:val="a3"/>
            <w:color w:val="000000"/>
          </w:rPr>
          <w:fldChar w:fldCharType="end"/>
        </w:r>
      </w:hyperlink>
    </w:p>
    <w:p w:rsidR="001C4CEE" w:rsidRDefault="006E1524" w:rsidP="001C4CEE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r:id="rId12" w:anchor="_Toc459642449" w:history="1">
        <w:r w:rsidR="001C4CEE">
          <w:rPr>
            <w:rStyle w:val="a3"/>
            <w:noProof/>
            <w:color w:val="000000"/>
            <w:szCs w:val="28"/>
          </w:rPr>
          <w:t>II. Цель, задачи, описание основных мероприятий Программы, сроки и этапы ее реализации</w:t>
        </w:r>
        <w:r w:rsidR="001C4CEE">
          <w:rPr>
            <w:rStyle w:val="a3"/>
            <w:noProof/>
            <w:webHidden/>
            <w:color w:val="000000"/>
            <w:szCs w:val="28"/>
          </w:rPr>
          <w:tab/>
        </w:r>
        <w:r w:rsidR="001C4CEE">
          <w:rPr>
            <w:rStyle w:val="a3"/>
            <w:color w:val="000000"/>
          </w:rPr>
          <w:fldChar w:fldCharType="begin"/>
        </w:r>
        <w:r w:rsidR="001C4CEE">
          <w:rPr>
            <w:rStyle w:val="a3"/>
            <w:noProof/>
            <w:webHidden/>
            <w:color w:val="000000"/>
            <w:szCs w:val="28"/>
          </w:rPr>
          <w:instrText xml:space="preserve"> PAGEREF _Toc459642449 \h </w:instrText>
        </w:r>
        <w:r w:rsidR="001C4CEE">
          <w:rPr>
            <w:rStyle w:val="a3"/>
            <w:color w:val="000000"/>
          </w:rPr>
        </w:r>
        <w:r w:rsidR="001C4CEE">
          <w:rPr>
            <w:rStyle w:val="a3"/>
            <w:color w:val="000000"/>
          </w:rPr>
          <w:fldChar w:fldCharType="separate"/>
        </w:r>
        <w:r>
          <w:rPr>
            <w:rStyle w:val="a3"/>
            <w:noProof/>
            <w:webHidden/>
            <w:color w:val="000000"/>
            <w:szCs w:val="28"/>
          </w:rPr>
          <w:t>8</w:t>
        </w:r>
        <w:r w:rsidR="001C4CEE">
          <w:rPr>
            <w:rStyle w:val="a3"/>
            <w:color w:val="000000"/>
          </w:rPr>
          <w:fldChar w:fldCharType="end"/>
        </w:r>
      </w:hyperlink>
    </w:p>
    <w:p w:rsidR="001C4CEE" w:rsidRDefault="006E1524" w:rsidP="001C4CEE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r:id="rId13" w:anchor="_Toc459642450" w:history="1">
        <w:r w:rsidR="001C4CEE">
          <w:rPr>
            <w:rStyle w:val="a3"/>
            <w:noProof/>
            <w:color w:val="000000"/>
            <w:szCs w:val="28"/>
          </w:rPr>
          <w:t>III. Обоснование ресурсного обеспечения Программы</w:t>
        </w:r>
        <w:r w:rsidR="001C4CEE">
          <w:rPr>
            <w:rStyle w:val="a3"/>
            <w:noProof/>
            <w:webHidden/>
            <w:color w:val="000000"/>
            <w:szCs w:val="28"/>
          </w:rPr>
          <w:tab/>
        </w:r>
        <w:r w:rsidR="001C4CEE">
          <w:rPr>
            <w:rStyle w:val="a3"/>
            <w:color w:val="000000"/>
          </w:rPr>
          <w:fldChar w:fldCharType="begin"/>
        </w:r>
        <w:r w:rsidR="001C4CEE">
          <w:rPr>
            <w:rStyle w:val="a3"/>
            <w:noProof/>
            <w:webHidden/>
            <w:color w:val="000000"/>
            <w:szCs w:val="28"/>
          </w:rPr>
          <w:instrText xml:space="preserve"> PAGEREF _Toc459642450 \h </w:instrText>
        </w:r>
        <w:r w:rsidR="001C4CEE">
          <w:rPr>
            <w:rStyle w:val="a3"/>
            <w:color w:val="000000"/>
          </w:rPr>
        </w:r>
        <w:r w:rsidR="001C4CEE">
          <w:rPr>
            <w:rStyle w:val="a3"/>
            <w:color w:val="000000"/>
          </w:rPr>
          <w:fldChar w:fldCharType="separate"/>
        </w:r>
        <w:r>
          <w:rPr>
            <w:rStyle w:val="a3"/>
            <w:noProof/>
            <w:webHidden/>
            <w:color w:val="000000"/>
            <w:szCs w:val="28"/>
          </w:rPr>
          <w:t>15</w:t>
        </w:r>
        <w:r w:rsidR="001C4CEE">
          <w:rPr>
            <w:rStyle w:val="a3"/>
            <w:color w:val="000000"/>
          </w:rPr>
          <w:fldChar w:fldCharType="end"/>
        </w:r>
      </w:hyperlink>
    </w:p>
    <w:p w:rsidR="001C4CEE" w:rsidRDefault="006E1524" w:rsidP="001C4CEE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r:id="rId14" w:anchor="_Toc459642451" w:history="1">
        <w:r w:rsidR="001C4CEE">
          <w:rPr>
            <w:rStyle w:val="a3"/>
            <w:noProof/>
            <w:color w:val="000000"/>
            <w:szCs w:val="28"/>
          </w:rPr>
          <w:t>IV. Механизм реализации Программы</w:t>
        </w:r>
        <w:r w:rsidR="001C4CEE">
          <w:rPr>
            <w:rStyle w:val="a3"/>
            <w:noProof/>
            <w:webHidden/>
            <w:color w:val="000000"/>
            <w:szCs w:val="28"/>
          </w:rPr>
          <w:tab/>
        </w:r>
        <w:r w:rsidR="001C4CEE">
          <w:rPr>
            <w:rStyle w:val="a3"/>
            <w:color w:val="000000"/>
          </w:rPr>
          <w:fldChar w:fldCharType="begin"/>
        </w:r>
        <w:r w:rsidR="001C4CEE">
          <w:rPr>
            <w:rStyle w:val="a3"/>
            <w:noProof/>
            <w:webHidden/>
            <w:color w:val="000000"/>
            <w:szCs w:val="28"/>
          </w:rPr>
          <w:instrText xml:space="preserve"> PAGEREF _Toc459642451 \h </w:instrText>
        </w:r>
        <w:r w:rsidR="001C4CEE">
          <w:rPr>
            <w:rStyle w:val="a3"/>
            <w:color w:val="000000"/>
          </w:rPr>
        </w:r>
        <w:r w:rsidR="001C4CEE">
          <w:rPr>
            <w:rStyle w:val="a3"/>
            <w:color w:val="000000"/>
          </w:rPr>
          <w:fldChar w:fldCharType="separate"/>
        </w:r>
        <w:r>
          <w:rPr>
            <w:rStyle w:val="a3"/>
            <w:noProof/>
            <w:webHidden/>
            <w:color w:val="000000"/>
            <w:szCs w:val="28"/>
          </w:rPr>
          <w:t>15</w:t>
        </w:r>
        <w:r w:rsidR="001C4CEE">
          <w:rPr>
            <w:rStyle w:val="a3"/>
            <w:color w:val="000000"/>
          </w:rPr>
          <w:fldChar w:fldCharType="end"/>
        </w:r>
      </w:hyperlink>
    </w:p>
    <w:p w:rsidR="001C4CEE" w:rsidRDefault="006E1524" w:rsidP="001C4CEE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r:id="rId15" w:anchor="_Toc459642452" w:history="1">
        <w:r w:rsidR="001C4CEE">
          <w:rPr>
            <w:rStyle w:val="a3"/>
            <w:noProof/>
            <w:color w:val="000000"/>
            <w:szCs w:val="28"/>
          </w:rPr>
          <w:t>V. Оценка социально-экономической и экологической эффективности Программы</w:t>
        </w:r>
        <w:r w:rsidR="001C4CEE">
          <w:rPr>
            <w:rStyle w:val="a3"/>
            <w:noProof/>
            <w:webHidden/>
            <w:color w:val="000000"/>
            <w:szCs w:val="28"/>
          </w:rPr>
          <w:tab/>
        </w:r>
        <w:r w:rsidR="001C4CEE">
          <w:rPr>
            <w:rStyle w:val="a3"/>
            <w:color w:val="000000"/>
          </w:rPr>
          <w:fldChar w:fldCharType="begin"/>
        </w:r>
        <w:r w:rsidR="001C4CEE">
          <w:rPr>
            <w:rStyle w:val="a3"/>
            <w:noProof/>
            <w:webHidden/>
            <w:color w:val="000000"/>
            <w:szCs w:val="28"/>
          </w:rPr>
          <w:instrText xml:space="preserve"> PAGEREF _Toc459642452 \h </w:instrText>
        </w:r>
        <w:r w:rsidR="001C4CEE">
          <w:rPr>
            <w:rStyle w:val="a3"/>
            <w:color w:val="000000"/>
          </w:rPr>
        </w:r>
        <w:r w:rsidR="001C4CEE">
          <w:rPr>
            <w:rStyle w:val="a3"/>
            <w:color w:val="000000"/>
          </w:rPr>
          <w:fldChar w:fldCharType="separate"/>
        </w:r>
        <w:r>
          <w:rPr>
            <w:rStyle w:val="a3"/>
            <w:noProof/>
            <w:webHidden/>
            <w:color w:val="000000"/>
            <w:szCs w:val="28"/>
          </w:rPr>
          <w:t>16</w:t>
        </w:r>
        <w:r w:rsidR="001C4CEE">
          <w:rPr>
            <w:rStyle w:val="a3"/>
            <w:color w:val="000000"/>
          </w:rPr>
          <w:fldChar w:fldCharType="end"/>
        </w:r>
      </w:hyperlink>
    </w:p>
    <w:p w:rsidR="001C4CEE" w:rsidRDefault="006E1524" w:rsidP="001C4CEE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r:id="rId16" w:anchor="_Toc459642453" w:history="1">
        <w:r w:rsidR="001C4CEE">
          <w:rPr>
            <w:rStyle w:val="a3"/>
            <w:noProof/>
            <w:color w:val="000000"/>
            <w:szCs w:val="28"/>
          </w:rPr>
          <w:t>Приложение 1</w:t>
        </w:r>
        <w:r w:rsidR="001C4CEE">
          <w:rPr>
            <w:rStyle w:val="a3"/>
            <w:noProof/>
            <w:webHidden/>
            <w:color w:val="000000"/>
            <w:szCs w:val="28"/>
          </w:rPr>
          <w:tab/>
        </w:r>
        <w:r w:rsidR="001C4CEE">
          <w:rPr>
            <w:rStyle w:val="a3"/>
            <w:color w:val="000000"/>
          </w:rPr>
          <w:fldChar w:fldCharType="begin"/>
        </w:r>
        <w:r w:rsidR="001C4CEE">
          <w:rPr>
            <w:rStyle w:val="a3"/>
            <w:noProof/>
            <w:webHidden/>
            <w:color w:val="000000"/>
            <w:szCs w:val="28"/>
          </w:rPr>
          <w:instrText xml:space="preserve"> PAGEREF _Toc459642453 \h </w:instrText>
        </w:r>
        <w:r w:rsidR="001C4CEE">
          <w:rPr>
            <w:rStyle w:val="a3"/>
            <w:color w:val="000000"/>
          </w:rPr>
        </w:r>
        <w:r w:rsidR="001C4CEE">
          <w:rPr>
            <w:rStyle w:val="a3"/>
            <w:color w:val="000000"/>
          </w:rPr>
          <w:fldChar w:fldCharType="separate"/>
        </w:r>
        <w:r>
          <w:rPr>
            <w:rStyle w:val="a3"/>
            <w:noProof/>
            <w:webHidden/>
            <w:color w:val="000000"/>
            <w:szCs w:val="28"/>
          </w:rPr>
          <w:t>18</w:t>
        </w:r>
        <w:r w:rsidR="001C4CEE">
          <w:rPr>
            <w:rStyle w:val="a3"/>
            <w:color w:val="000000"/>
          </w:rPr>
          <w:fldChar w:fldCharType="end"/>
        </w:r>
      </w:hyperlink>
    </w:p>
    <w:p w:rsidR="001C4CEE" w:rsidRDefault="001C4CEE" w:rsidP="001C4CEE">
      <w:pPr>
        <w:rPr>
          <w:rFonts w:cs="Times New Roman"/>
          <w:sz w:val="28"/>
          <w:szCs w:val="28"/>
        </w:rPr>
      </w:pPr>
      <w:r>
        <w:fldChar w:fldCharType="end"/>
      </w:r>
    </w:p>
    <w:bookmarkEnd w:id="0"/>
    <w:p w:rsidR="001C4CEE" w:rsidRDefault="001C4CEE" w:rsidP="001C4CEE">
      <w:pPr>
        <w:pStyle w:val="1"/>
      </w:pPr>
      <w:r>
        <w:rPr>
          <w:b w:val="0"/>
          <w:bCs w:val="0"/>
        </w:rPr>
        <w:br w:type="page"/>
      </w:r>
      <w:bookmarkStart w:id="2" w:name="_Toc459642447"/>
      <w:r>
        <w:lastRenderedPageBreak/>
        <w:t xml:space="preserve">Паспорт </w:t>
      </w:r>
      <w:r>
        <w:rPr>
          <w:lang w:val="ru-RU"/>
        </w:rPr>
        <w:t>П</w:t>
      </w:r>
      <w:proofErr w:type="spellStart"/>
      <w:r>
        <w:t>рограммы</w:t>
      </w:r>
      <w:bookmarkEnd w:id="2"/>
      <w:proofErr w:type="spellEnd"/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902"/>
        <w:gridCol w:w="5593"/>
      </w:tblGrid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>
              <w:rPr>
                <w:rFonts w:cs="Times New Roman"/>
                <w:color w:val="FF0000"/>
                <w:sz w:val="28"/>
                <w:szCs w:val="28"/>
              </w:rPr>
              <w:t>Большешурнякское</w:t>
            </w:r>
            <w:proofErr w:type="spellEnd"/>
            <w:r>
              <w:rPr>
                <w:rFonts w:cs="Times New Roman"/>
                <w:color w:val="FF0000"/>
                <w:sz w:val="28"/>
                <w:szCs w:val="28"/>
              </w:rPr>
              <w:t xml:space="preserve"> сельское поселение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Елабужского муниципального района на 2016-2018 годы»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cs="Times New Roman"/>
                <w:color w:val="FF0000"/>
                <w:sz w:val="28"/>
                <w:szCs w:val="28"/>
              </w:rPr>
              <w:t>Большешурнякского сельского поселения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cs="Times New Roman"/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для формирования конкурентной среды</w:t>
            </w:r>
            <w:r>
              <w:rPr>
                <w:rFonts w:cs="Times New Roman"/>
                <w:sz w:val="28"/>
                <w:szCs w:val="28"/>
              </w:rPr>
              <w:t xml:space="preserve">  за счет расширения доступа к финансовым ресурсам, развития инфраструктуры муниципальной поддержки МСП.</w:t>
            </w:r>
          </w:p>
          <w:p w:rsidR="001C4CEE" w:rsidRDefault="001C4CE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- увеличение доли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2016-2018 годы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4CEE" w:rsidTr="001C4CEE">
        <w:trPr>
          <w:trHeight w:val="327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10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2128"/>
            </w:tblGrid>
            <w:tr w:rsidR="001C4CEE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1C4CEE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2,0</w:t>
                  </w:r>
                </w:p>
              </w:tc>
            </w:tr>
          </w:tbl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увеличение количества малых и средних предприятий в целом;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численности занятого населения в</w:t>
            </w:r>
            <w:r>
              <w:rPr>
                <w:rFonts w:cs="Times New Roman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1C4CEE" w:rsidRDefault="001C4CEE" w:rsidP="001C4CEE">
      <w:pPr>
        <w:pStyle w:val="1"/>
        <w:numPr>
          <w:ilvl w:val="0"/>
          <w:numId w:val="1"/>
        </w:numPr>
      </w:pPr>
      <w:r>
        <w:rPr>
          <w:b w:val="0"/>
          <w:bCs w:val="0"/>
          <w:color w:val="000000"/>
        </w:rPr>
        <w:br w:type="page"/>
      </w:r>
      <w:bookmarkStart w:id="3" w:name="_Toc459642448"/>
      <w:bookmarkStart w:id="4" w:name="_Toc459186649"/>
      <w:bookmarkStart w:id="5" w:name="_Toc458670609"/>
      <w:r>
        <w:lastRenderedPageBreak/>
        <w:t>Характеристика сферы реализации Программы, проблемы и пути их решения</w:t>
      </w:r>
      <w:bookmarkEnd w:id="3"/>
      <w:bookmarkEnd w:id="4"/>
      <w:bookmarkEnd w:id="5"/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</w:t>
      </w:r>
      <w:r>
        <w:rPr>
          <w:rFonts w:cs="Times New Roman"/>
          <w:sz w:val="28"/>
          <w:szCs w:val="28"/>
        </w:rPr>
        <w:t xml:space="preserve">муниципального района, а также </w:t>
      </w:r>
      <w:r>
        <w:rPr>
          <w:rFonts w:cs="Times New Roman"/>
          <w:color w:val="FF0000"/>
          <w:sz w:val="28"/>
          <w:szCs w:val="28"/>
        </w:rPr>
        <w:t>Большешурнякского сельского поселения</w:t>
      </w:r>
      <w:r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одним из приоритетных направлений социально-экономического развития региона.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>
        <w:rPr>
          <w:rFonts w:cs="Times New Roman"/>
          <w:sz w:val="28"/>
          <w:szCs w:val="28"/>
        </w:rPr>
        <w:t>Елабужском</w:t>
      </w:r>
      <w:proofErr w:type="spellEnd"/>
      <w:r>
        <w:rPr>
          <w:rFonts w:cs="Times New Roman"/>
          <w:sz w:val="28"/>
          <w:szCs w:val="28"/>
        </w:rPr>
        <w:t xml:space="preserve"> муниципальном районе, а также в </w:t>
      </w:r>
      <w:proofErr w:type="spellStart"/>
      <w:r>
        <w:rPr>
          <w:rFonts w:cs="Times New Roman"/>
          <w:color w:val="FF0000"/>
          <w:sz w:val="28"/>
          <w:szCs w:val="28"/>
        </w:rPr>
        <w:t>Большешурнякском</w:t>
      </w:r>
      <w:proofErr w:type="spellEnd"/>
      <w:r>
        <w:rPr>
          <w:rFonts w:cs="Times New Roman"/>
          <w:color w:val="FF0000"/>
          <w:sz w:val="28"/>
          <w:szCs w:val="28"/>
        </w:rPr>
        <w:t xml:space="preserve"> сельском поселении</w:t>
      </w:r>
      <w:r>
        <w:rPr>
          <w:rFonts w:cs="Times New Roman"/>
          <w:sz w:val="28"/>
          <w:szCs w:val="28"/>
        </w:rPr>
        <w:t xml:space="preserve"> способствует созданная инфраструктура поддержки предпринимательства: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>
        <w:rPr>
          <w:rFonts w:cs="Times New Roman"/>
          <w:sz w:val="28"/>
          <w:szCs w:val="28"/>
        </w:rPr>
        <w:t>Закамье</w:t>
      </w:r>
      <w:proofErr w:type="spellEnd"/>
      <w:r>
        <w:rPr>
          <w:rFonts w:cs="Times New Roman"/>
          <w:sz w:val="28"/>
          <w:szCs w:val="28"/>
        </w:rPr>
        <w:t xml:space="preserve">»;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ГБУ «Бизнес-Инкубатор г. Елабуга»;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Совет предпринимателей Елабужского муниципального района;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Большешурнякском</w:t>
      </w:r>
      <w:proofErr w:type="spellEnd"/>
      <w:r>
        <w:rPr>
          <w:rFonts w:cs="Times New Roman"/>
          <w:sz w:val="28"/>
          <w:szCs w:val="28"/>
        </w:rPr>
        <w:t xml:space="preserve"> сельском поселении на сегодняшний день существуют следующие проблемы развития малого и среднего бизнеса: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недостаточное количество бизнес – инициатив;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недостаточное количество инструментов стимулирования бизнеса.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определении приоритетных направлений поддержки малого и </w:t>
      </w:r>
      <w:r>
        <w:rPr>
          <w:rFonts w:cs="Times New Roman"/>
          <w:sz w:val="28"/>
          <w:szCs w:val="28"/>
        </w:rPr>
        <w:t xml:space="preserve">среднего предпринимательства </w:t>
      </w:r>
      <w:r>
        <w:rPr>
          <w:rFonts w:cs="Times New Roman"/>
          <w:color w:val="FF0000"/>
          <w:sz w:val="28"/>
          <w:szCs w:val="28"/>
        </w:rPr>
        <w:t xml:space="preserve">Большешурнякского сельского поселения </w:t>
      </w:r>
      <w:r>
        <w:rPr>
          <w:rFonts w:cs="Times New Roman"/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сельских поселениях остро стоит проблема обеспечения занятости населения. Обеспечение </w:t>
      </w:r>
      <w:proofErr w:type="spellStart"/>
      <w:r>
        <w:rPr>
          <w:rFonts w:cs="Times New Roman"/>
          <w:color w:val="000000"/>
          <w:sz w:val="28"/>
          <w:szCs w:val="28"/>
        </w:rPr>
        <w:t>самозанятости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Необходимость разработки данной программы на период  2016- 2018 гг. и решения задач по развитию предпринимательства программно-целевым методом обусловлены рядом объективных факторов: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>
        <w:rPr>
          <w:rFonts w:cs="Times New Roman"/>
          <w:color w:val="FF0000"/>
          <w:sz w:val="28"/>
          <w:szCs w:val="28"/>
        </w:rPr>
        <w:t>Большешурнякского сельского поселения</w:t>
      </w:r>
      <w:r>
        <w:rPr>
          <w:rFonts w:cs="Times New Roman"/>
          <w:sz w:val="28"/>
          <w:szCs w:val="28"/>
        </w:rPr>
        <w:t>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сложность социально-экономической ситуации, связанной  ростом безработицы;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Настоящая Программа соответствует целям и задачам Стратегии развития Елабужского муниципального района и его поселений до 2015 года и на перспективу до 2025 года (утверждена Решением Совета Елабужского муниципального района от 22.12.2010 №32).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Мероприятия Программы позволят достичь основной стратегической </w:t>
      </w:r>
      <w:r>
        <w:rPr>
          <w:rFonts w:cs="Times New Roman"/>
          <w:sz w:val="28"/>
          <w:szCs w:val="28"/>
        </w:rPr>
        <w:t xml:space="preserve">цели </w:t>
      </w:r>
      <w:r>
        <w:rPr>
          <w:rFonts w:cs="Times New Roman"/>
          <w:color w:val="FF0000"/>
          <w:sz w:val="28"/>
          <w:szCs w:val="28"/>
        </w:rPr>
        <w:t>Большешурнякского сельского поселения</w:t>
      </w:r>
      <w:r>
        <w:rPr>
          <w:rFonts w:cs="Times New Roman"/>
          <w:sz w:val="28"/>
          <w:szCs w:val="28"/>
        </w:rPr>
        <w:t xml:space="preserve"> – создание благоприятных</w:t>
      </w:r>
      <w:r>
        <w:rPr>
          <w:rFonts w:cs="Times New Roman"/>
          <w:color w:val="000000"/>
          <w:sz w:val="28"/>
          <w:szCs w:val="28"/>
        </w:rPr>
        <w:t xml:space="preserve">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</w:t>
      </w:r>
      <w:r>
        <w:rPr>
          <w:rFonts w:cs="Times New Roman"/>
          <w:color w:val="000000"/>
          <w:sz w:val="28"/>
          <w:szCs w:val="28"/>
        </w:rPr>
        <w:lastRenderedPageBreak/>
        <w:t>региона в целом и отдельных муниципальных образований.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C4CEE" w:rsidRDefault="001C4CEE" w:rsidP="001C4CEE">
      <w:pPr>
        <w:pStyle w:val="1"/>
        <w:numPr>
          <w:ilvl w:val="0"/>
          <w:numId w:val="1"/>
        </w:numPr>
      </w:pPr>
      <w:bookmarkStart w:id="6" w:name="_Toc459642449"/>
      <w:bookmarkStart w:id="7" w:name="_Toc459186650"/>
      <w:bookmarkStart w:id="8" w:name="_Toc458670610"/>
      <w:r>
        <w:t>Цель, задачи, описание основных мероприятий Программы, сроки и этапы ее реализации</w:t>
      </w:r>
      <w:bookmarkEnd w:id="6"/>
      <w:bookmarkEnd w:id="7"/>
      <w:bookmarkEnd w:id="8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Цель Программы – </w:t>
      </w:r>
      <w:r>
        <w:rPr>
          <w:rFonts w:cs="Times New Roman"/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</w:t>
      </w:r>
      <w:r>
        <w:rPr>
          <w:rFonts w:cs="Times New Roman"/>
          <w:sz w:val="28"/>
          <w:szCs w:val="28"/>
        </w:rPr>
        <w:t xml:space="preserve">  за счет расширения доступа к финансовым ресурсам, развития инфраструктуры муниципальной поддержки МСП.</w:t>
      </w:r>
    </w:p>
    <w:p w:rsidR="001C4CEE" w:rsidRDefault="001C4CEE" w:rsidP="001C4CEE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Задачи Программы: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к неэффективно используемому муниципальному имуществу;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увеличение доли </w:t>
      </w:r>
      <w:proofErr w:type="gramStart"/>
      <w:r>
        <w:rPr>
          <w:rFonts w:cs="Times New Roman"/>
          <w:color w:val="000000"/>
          <w:sz w:val="28"/>
          <w:szCs w:val="28"/>
        </w:rPr>
        <w:t>работающих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 малом и среднем предпринимательстве в </w:t>
      </w:r>
      <w:r>
        <w:rPr>
          <w:rFonts w:cs="Times New Roman"/>
          <w:color w:val="000000"/>
          <w:sz w:val="28"/>
          <w:szCs w:val="28"/>
        </w:rPr>
        <w:lastRenderedPageBreak/>
        <w:t>общей численности занятых в экономике района;</w:t>
      </w:r>
    </w:p>
    <w:p w:rsidR="001C4CEE" w:rsidRDefault="001C4CEE" w:rsidP="001C4CE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Реализация Программы будет осуществляться в течение 2016-2018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1C4CEE" w:rsidRDefault="001C4CEE" w:rsidP="001C4CE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Характеристика основных мероприятий Программы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Программные мероприятия структурированы  по следующим направлениям:</w:t>
      </w:r>
    </w:p>
    <w:p w:rsidR="001C4CEE" w:rsidRDefault="001C4CEE" w:rsidP="001C4CEE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1C4CEE" w:rsidRDefault="001C4CEE" w:rsidP="001C4CEE">
      <w:pPr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группа мероприятий предполагает проведение маркетинговых исследований, а также мониторинг  и анализ развития малого и среднего бизнеса, в том числе: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мониторинг развития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выявление проблем и препятствий, сдерживающих развитие малого и </w:t>
      </w:r>
      <w:r>
        <w:rPr>
          <w:rFonts w:cs="Times New Roman"/>
          <w:sz w:val="28"/>
          <w:szCs w:val="28"/>
        </w:rPr>
        <w:lastRenderedPageBreak/>
        <w:t>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актуализация нормативных правовых актов;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снижение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. Оказание земельно-имущественной поддержки субъектам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. Поддержка 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подготовки, переподготовки и повышения квалификации кадров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организация и проведение семинаров,  конференций;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создание кружков по интересам для старших школьников;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. Консультационная и правовая поддержка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ar-SA"/>
        </w:rPr>
        <w:t xml:space="preserve"> </w:t>
      </w:r>
      <w:r>
        <w:rPr>
          <w:rFonts w:cs="Times New Roman"/>
          <w:sz w:val="28"/>
          <w:szCs w:val="28"/>
          <w:lang w:eastAsia="ar-SA"/>
        </w:rPr>
        <w:t xml:space="preserve">1. </w:t>
      </w:r>
      <w:r>
        <w:rPr>
          <w:rFonts w:cs="Times New Roman"/>
          <w:sz w:val="28"/>
          <w:szCs w:val="28"/>
          <w:lang w:val="x-none" w:eastAsia="x-none"/>
        </w:rPr>
        <w:t>Правовая поддержка субъектов малого и среднего предпринимательства осуществляется Исполнительным комитетом муниципального образования «Елабужский муниципальный район», Правовой Палатой, Палатой перспективного социально-экономического развития Елабужского муниципального района  совместно с представительством Торгово-промышленной палаты города Набережные Челны и региона «</w:t>
      </w:r>
      <w:proofErr w:type="spellStart"/>
      <w:r>
        <w:rPr>
          <w:rFonts w:cs="Times New Roman"/>
          <w:sz w:val="28"/>
          <w:szCs w:val="28"/>
          <w:lang w:val="x-none" w:eastAsia="x-none"/>
        </w:rPr>
        <w:t>Закамье</w:t>
      </w:r>
      <w:proofErr w:type="spellEnd"/>
      <w:r>
        <w:rPr>
          <w:rFonts w:cs="Times New Roman"/>
          <w:sz w:val="28"/>
          <w:szCs w:val="28"/>
          <w:lang w:val="x-none" w:eastAsia="x-none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реализации иных мероприятий по правовой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Консультационная поддержка субъектов малого и среднего предпринимательства осуществляется Исполнительным комитетом ЕМР, Правовой и Земельно-имущественной Палатами,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>
        <w:rPr>
          <w:sz w:val="28"/>
          <w:szCs w:val="28"/>
        </w:rPr>
        <w:t>Закамье</w:t>
      </w:r>
      <w:proofErr w:type="spellEnd"/>
      <w:r>
        <w:rPr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реализации иных мероприятий по консультационной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Пропаганда, популяризация,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информационная поддержка предпринимательской деятельности</w:t>
      </w:r>
      <w:r>
        <w:rPr>
          <w:sz w:val="28"/>
          <w:szCs w:val="28"/>
        </w:rPr>
        <w:t>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ЕМР, Правовой и Земельно-имущественной Палатами,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>
        <w:rPr>
          <w:sz w:val="28"/>
          <w:szCs w:val="28"/>
        </w:rPr>
        <w:t>Закамье</w:t>
      </w:r>
      <w:proofErr w:type="spellEnd"/>
      <w:r>
        <w:rPr>
          <w:sz w:val="28"/>
          <w:szCs w:val="28"/>
        </w:rPr>
        <w:t>», ГБУ «Бизнес-инкубатор г. Елабуга», Ассоциацией предприятий малого и среднего бизнеса РТ, Министерством экономики РТ и другими организациями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3) использование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официального сайта Елабужского муниципального района</w:t>
      </w:r>
      <w:r>
        <w:rPr>
          <w:sz w:val="28"/>
          <w:szCs w:val="28"/>
          <w:lang w:val="ru-RU"/>
        </w:rPr>
        <w:t>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  <w:lang w:val="ru-RU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  <w:lang w:val="ru-RU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 Рекламно-выставочная деятельность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- участие в ярмарках, конгрессах, выставках и форумах.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По итогам указанных мероприятий планируется: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>
        <w:rPr>
          <w:rFonts w:cs="Times New Roman"/>
          <w:spacing w:val="-2"/>
          <w:sz w:val="28"/>
          <w:szCs w:val="28"/>
        </w:rPr>
        <w:t>выставочно</w:t>
      </w:r>
      <w:proofErr w:type="spellEnd"/>
      <w:r>
        <w:rPr>
          <w:rFonts w:cs="Times New Roman"/>
          <w:spacing w:val="-2"/>
          <w:sz w:val="28"/>
          <w:szCs w:val="28"/>
        </w:rPr>
        <w:t>-ярмарочной деятельности и  развитии межрегиональных контактов.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Поддержка приоритетных направлений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сельское хозяйство;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социальная сфера (туризм, бытовые и социальные услуги населению);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народные художественные промыслы и ремесла.</w:t>
      </w:r>
    </w:p>
    <w:p w:rsidR="001C4CEE" w:rsidRDefault="001C4CEE" w:rsidP="001C4CEE">
      <w:pPr>
        <w:widowControl/>
        <w:tabs>
          <w:tab w:val="num" w:pos="900"/>
        </w:tabs>
        <w:ind w:left="567"/>
        <w:contextualSpacing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7.1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</w:t>
      </w:r>
      <w:r>
        <w:rPr>
          <w:rFonts w:cs="Times New Roman"/>
          <w:sz w:val="28"/>
          <w:szCs w:val="28"/>
        </w:rPr>
        <w:lastRenderedPageBreak/>
        <w:t xml:space="preserve">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</w:t>
      </w:r>
      <w:r>
        <w:rPr>
          <w:rFonts w:cs="Times New Roman"/>
          <w:sz w:val="28"/>
          <w:szCs w:val="28"/>
          <w:lang w:eastAsia="ar-SA"/>
        </w:rPr>
        <w:t>совместно 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>
        <w:rPr>
          <w:rFonts w:cs="Times New Roman"/>
          <w:sz w:val="28"/>
          <w:szCs w:val="28"/>
          <w:lang w:eastAsia="ar-SA"/>
        </w:rPr>
        <w:t>Закамье</w:t>
      </w:r>
      <w:proofErr w:type="spellEnd"/>
      <w:r>
        <w:rPr>
          <w:rFonts w:cs="Times New Roman"/>
          <w:sz w:val="28"/>
          <w:szCs w:val="28"/>
          <w:lang w:eastAsia="ar-SA"/>
        </w:rPr>
        <w:t>», ГБУ</w:t>
      </w:r>
      <w:proofErr w:type="gramEnd"/>
      <w:r>
        <w:rPr>
          <w:rFonts w:cs="Times New Roman"/>
          <w:sz w:val="28"/>
          <w:szCs w:val="28"/>
          <w:lang w:eastAsia="ar-SA"/>
        </w:rPr>
        <w:t xml:space="preserve"> «Бизнес-инкубатор г. Елабуга», Ассоциацией предприятий малого и среднего бизнеса РТ</w:t>
      </w:r>
      <w:r>
        <w:rPr>
          <w:rFonts w:cs="Times New Roman"/>
          <w:sz w:val="28"/>
          <w:szCs w:val="28"/>
        </w:rPr>
        <w:t xml:space="preserve"> и Министерством экономики  РТ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>
        <w:rPr>
          <w:rFonts w:cs="Times New Roman"/>
          <w:sz w:val="28"/>
          <w:szCs w:val="28"/>
        </w:rPr>
        <w:t>бизнес-проектов</w:t>
      </w:r>
      <w:proofErr w:type="gramEnd"/>
      <w:r>
        <w:rPr>
          <w:rFonts w:cs="Times New Roman"/>
          <w:sz w:val="28"/>
          <w:szCs w:val="28"/>
        </w:rPr>
        <w:t>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Style w:val="a4"/>
        </w:rPr>
      </w:pPr>
      <w:r>
        <w:rPr>
          <w:rFonts w:cs="Times New Roman"/>
          <w:b/>
          <w:sz w:val="28"/>
          <w:szCs w:val="28"/>
        </w:rPr>
        <w:t xml:space="preserve">7.2. </w:t>
      </w:r>
      <w:r>
        <w:rPr>
          <w:rStyle w:val="a4"/>
          <w:rFonts w:cs="Times New Roman"/>
          <w:sz w:val="28"/>
          <w:szCs w:val="28"/>
        </w:rPr>
        <w:t>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области сельскохозяйственной деятельности</w:t>
      </w:r>
    </w:p>
    <w:p w:rsidR="001C4CEE" w:rsidRDefault="001C4CEE" w:rsidP="001C4CEE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>
        <w:rPr>
          <w:rFonts w:cs="Times New Roman"/>
          <w:sz w:val="28"/>
          <w:szCs w:val="28"/>
          <w:lang w:eastAsia="ar-SA"/>
        </w:rPr>
        <w:t>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>
        <w:rPr>
          <w:rFonts w:cs="Times New Roman"/>
          <w:sz w:val="28"/>
          <w:szCs w:val="28"/>
          <w:lang w:eastAsia="ar-SA"/>
        </w:rPr>
        <w:t>Закамье</w:t>
      </w:r>
      <w:proofErr w:type="spellEnd"/>
      <w:r>
        <w:rPr>
          <w:rFonts w:cs="Times New Roman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>
        <w:rPr>
          <w:rFonts w:cs="Times New Roman"/>
          <w:sz w:val="28"/>
          <w:szCs w:val="28"/>
        </w:rPr>
        <w:t xml:space="preserve"> и другими организациями в соответствии с требованиями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 xml:space="preserve">установленными Федеральным законом от 29.12.2006 № 264-ФЗ «О развитии сельского </w:t>
      </w:r>
      <w:r>
        <w:rPr>
          <w:rFonts w:cs="Times New Roman"/>
          <w:sz w:val="28"/>
          <w:szCs w:val="28"/>
        </w:rPr>
        <w:lastRenderedPageBreak/>
        <w:t>хозяйства», в виде:</w:t>
      </w:r>
      <w:proofErr w:type="gramEnd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содействия в 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1C4CEE" w:rsidRDefault="001C4CEE" w:rsidP="001C4CEE">
      <w:pPr>
        <w:ind w:firstLine="567"/>
        <w:jc w:val="center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7.3. 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сфере развития социального предпринимательства 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(туризм, оказание бытовых и социальных услуг населению)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>
        <w:rPr>
          <w:rFonts w:cs="Times New Roman"/>
          <w:sz w:val="28"/>
          <w:szCs w:val="28"/>
          <w:lang w:eastAsia="ar-SA"/>
        </w:rPr>
        <w:t xml:space="preserve">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совместно с ГБУ «Бизнес-инкубатор </w:t>
      </w:r>
      <w:proofErr w:type="spellStart"/>
      <w:r>
        <w:rPr>
          <w:rFonts w:cs="Times New Roman"/>
          <w:sz w:val="28"/>
          <w:szCs w:val="28"/>
          <w:lang w:eastAsia="ar-SA"/>
        </w:rPr>
        <w:t>г</w:t>
      </w:r>
      <w:proofErr w:type="gramStart"/>
      <w:r>
        <w:rPr>
          <w:rFonts w:cs="Times New Roman"/>
          <w:sz w:val="28"/>
          <w:szCs w:val="28"/>
          <w:lang w:eastAsia="ar-SA"/>
        </w:rPr>
        <w:t>.Е</w:t>
      </w:r>
      <w:proofErr w:type="gramEnd"/>
      <w:r>
        <w:rPr>
          <w:rFonts w:cs="Times New Roman"/>
          <w:sz w:val="28"/>
          <w:szCs w:val="28"/>
          <w:lang w:eastAsia="ar-SA"/>
        </w:rPr>
        <w:t>лабуга</w:t>
      </w:r>
      <w:proofErr w:type="spellEnd"/>
      <w:r>
        <w:rPr>
          <w:rFonts w:cs="Times New Roman"/>
          <w:sz w:val="28"/>
          <w:szCs w:val="28"/>
          <w:lang w:eastAsia="ar-SA"/>
        </w:rPr>
        <w:t>», Ассоциацией предприятий малого и среднего бизнеса РТ</w:t>
      </w:r>
      <w:r>
        <w:rPr>
          <w:rFonts w:cs="Times New Roman"/>
          <w:sz w:val="28"/>
          <w:szCs w:val="28"/>
        </w:rPr>
        <w:t>, Министерством экономики РТ и другими организациями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формирования конкурентной среды;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реализации иных мероприятий.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 xml:space="preserve">. льготным категориям населения, а </w:t>
      </w:r>
      <w:r>
        <w:rPr>
          <w:rFonts w:cs="Times New Roman"/>
          <w:sz w:val="28"/>
          <w:szCs w:val="28"/>
        </w:rPr>
        <w:lastRenderedPageBreak/>
        <w:t xml:space="preserve">также повысить качество предоставляемых услуг.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мероприятий Программы приведен в Приложении 1.</w:t>
      </w:r>
    </w:p>
    <w:p w:rsidR="001C4CEE" w:rsidRDefault="001C4CEE" w:rsidP="001C4CEE">
      <w:pPr>
        <w:pStyle w:val="1"/>
        <w:numPr>
          <w:ilvl w:val="0"/>
          <w:numId w:val="1"/>
        </w:numPr>
      </w:pPr>
      <w:bookmarkStart w:id="9" w:name="_Toc459642450"/>
      <w:bookmarkStart w:id="10" w:name="_Toc459186651"/>
      <w:bookmarkStart w:id="11" w:name="_Toc458670611"/>
      <w:r>
        <w:t>Обоснование ресурсного обеспечения Программы</w:t>
      </w:r>
      <w:bookmarkEnd w:id="9"/>
      <w:bookmarkEnd w:id="10"/>
      <w:bookmarkEnd w:id="11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 в соответствии с выбранными направлениями развития малого и среднего предпринимательства.  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proofErr w:type="gramStart"/>
      <w:r>
        <w:rPr>
          <w:rFonts w:eastAsia="Calibri" w:cs="Times New Roman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1C4CEE" w:rsidRDefault="001C4CEE" w:rsidP="001C4CEE">
      <w:pPr>
        <w:spacing w:after="120"/>
        <w:ind w:firstLine="567"/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1C4CEE" w:rsidTr="001C4CEE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Общая сумма, </w:t>
            </w: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тыс</w:t>
            </w: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ублей</w:t>
            </w:r>
            <w:proofErr w:type="spellEnd"/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 том числе по годам</w:t>
            </w:r>
          </w:p>
        </w:tc>
      </w:tr>
      <w:tr w:rsidR="001C4CEE" w:rsidTr="001C4CEE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2018</w:t>
            </w: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1C4CE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1,00</w:t>
            </w:r>
          </w:p>
        </w:tc>
      </w:tr>
      <w:tr w:rsidR="001C4CEE" w:rsidTr="001C4CEE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1C4CEE" w:rsidRDefault="001C4CEE" w:rsidP="001C4CEE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pStyle w:val="1"/>
      </w:pPr>
      <w:bookmarkStart w:id="12" w:name="_Toc459642451"/>
      <w:bookmarkStart w:id="13" w:name="_Toc459186652"/>
      <w:bookmarkStart w:id="14" w:name="_Toc458670612"/>
      <w:r>
        <w:t>IV. Механизм реализации Программы</w:t>
      </w:r>
      <w:bookmarkEnd w:id="12"/>
      <w:bookmarkEnd w:id="13"/>
      <w:bookmarkEnd w:id="14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 и Совет предпринимателей Елабужского муниципального района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1"/>
      </w:pPr>
      <w:bookmarkStart w:id="15" w:name="_Toc459642452"/>
      <w:bookmarkStart w:id="16" w:name="_Toc459186653"/>
      <w:bookmarkStart w:id="17" w:name="_Toc458670613"/>
      <w:r>
        <w:t>V. Оценка социально-экономической и экологической эффективности Программы</w:t>
      </w:r>
      <w:bookmarkEnd w:id="15"/>
      <w:bookmarkEnd w:id="16"/>
      <w:bookmarkEnd w:id="17"/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4"/>
          <w:sz w:val="28"/>
          <w:szCs w:val="28"/>
        </w:rPr>
      </w:pPr>
      <w:bookmarkStart w:id="18" w:name="RANGE!A1:F26"/>
      <w:bookmarkEnd w:id="18"/>
      <w:r>
        <w:rPr>
          <w:rFonts w:cs="Times New Roman"/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2016 - 2018 годы следующих показателей: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 увеличение количества малых и средних предприятий в </w:t>
      </w:r>
      <w:r>
        <w:rPr>
          <w:rFonts w:cs="Times New Roman"/>
          <w:spacing w:val="-4"/>
          <w:sz w:val="28"/>
          <w:szCs w:val="28"/>
        </w:rPr>
        <w:t>целом;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 увеличение численности населения, занятого в</w:t>
      </w:r>
      <w:r>
        <w:rPr>
          <w:rFonts w:cs="Times New Roman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6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</w:t>
      </w:r>
      <w:r>
        <w:rPr>
          <w:rFonts w:cs="Times New Roman"/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>
        <w:rPr>
          <w:rFonts w:cs="Times New Roman"/>
          <w:color w:val="FF0000"/>
          <w:sz w:val="28"/>
          <w:szCs w:val="28"/>
        </w:rPr>
        <w:t>Большешурнякского сельского поселения</w:t>
      </w:r>
      <w:r>
        <w:rPr>
          <w:rFonts w:cs="Times New Roman"/>
          <w:color w:val="000000"/>
          <w:sz w:val="28"/>
          <w:szCs w:val="28"/>
        </w:rPr>
        <w:t xml:space="preserve"> Елабужского </w:t>
      </w:r>
      <w:r>
        <w:rPr>
          <w:rFonts w:cs="Times New Roman"/>
          <w:color w:val="000000"/>
          <w:sz w:val="28"/>
          <w:szCs w:val="28"/>
        </w:rPr>
        <w:lastRenderedPageBreak/>
        <w:t>муниципального района.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1C4CEE" w:rsidRDefault="001C4CEE" w:rsidP="001C4CEE">
      <w:pPr>
        <w:widowControl/>
        <w:autoSpaceDE/>
        <w:autoSpaceDN/>
        <w:adjustRightInd/>
        <w:rPr>
          <w:rFonts w:cs="Times New Roman"/>
          <w:szCs w:val="24"/>
        </w:rPr>
        <w:sectPr w:rsidR="001C4CEE">
          <w:pgSz w:w="12240" w:h="15840"/>
          <w:pgMar w:top="1134" w:right="850" w:bottom="1134" w:left="1701" w:header="720" w:footer="720" w:gutter="0"/>
          <w:cols w:space="720"/>
        </w:sectPr>
      </w:pPr>
    </w:p>
    <w:p w:rsidR="001C4CEE" w:rsidRDefault="001C4CEE" w:rsidP="001C4CEE">
      <w:pPr>
        <w:pStyle w:val="1"/>
        <w:jc w:val="right"/>
        <w:rPr>
          <w:b w:val="0"/>
          <w:lang w:val="ru-RU"/>
        </w:rPr>
      </w:pPr>
      <w:bookmarkStart w:id="19" w:name="_Toc459642453"/>
      <w:r>
        <w:rPr>
          <w:b w:val="0"/>
          <w:color w:val="FF0000"/>
          <w:lang w:val="ru-RU"/>
        </w:rPr>
        <w:lastRenderedPageBreak/>
        <w:t xml:space="preserve">   </w:t>
      </w:r>
      <w:r>
        <w:rPr>
          <w:b w:val="0"/>
        </w:rPr>
        <w:t>Приложение 1</w:t>
      </w:r>
      <w:bookmarkEnd w:id="19"/>
      <w:r>
        <w:rPr>
          <w:b w:val="0"/>
        </w:rPr>
        <w:t xml:space="preserve"> </w:t>
      </w:r>
    </w:p>
    <w:p w:rsidR="001C4CEE" w:rsidRDefault="001C4CEE" w:rsidP="001C4CEE">
      <w:pPr>
        <w:jc w:val="center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>
        <w:rPr>
          <w:b/>
          <w:bCs/>
          <w:color w:val="26282F"/>
          <w:szCs w:val="24"/>
        </w:rPr>
        <w:t>Большешурнякское</w:t>
      </w:r>
      <w:proofErr w:type="spellEnd"/>
      <w:r>
        <w:rPr>
          <w:b/>
          <w:bCs/>
          <w:color w:val="26282F"/>
          <w:szCs w:val="24"/>
        </w:rPr>
        <w:t xml:space="preserve"> сельское поселение Елабужского муниципального района на 2016-2018 годы» и финансирование по мероприятиям программы</w:t>
      </w: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1985"/>
        <w:gridCol w:w="1339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1C4CEE" w:rsidTr="001C4CEE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Финансирование, тыс. рублей</w:t>
            </w:r>
          </w:p>
        </w:tc>
      </w:tr>
      <w:tr w:rsidR="001C4CEE" w:rsidTr="001C4CEE">
        <w:trPr>
          <w:trHeight w:val="52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1C4CEE" w:rsidTr="001C4CEE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C4CEE" w:rsidTr="001C4CEE">
        <w:trPr>
          <w:trHeight w:val="974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Наименование цели: </w:t>
            </w:r>
            <w:r>
              <w:rPr>
                <w:rFonts w:cs="Times New Roman"/>
                <w:color w:val="000000"/>
                <w:sz w:val="20"/>
                <w:szCs w:val="20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1C4CEE" w:rsidTr="001C4CEE">
        <w:trPr>
          <w:trHeight w:val="315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1C4CEE" w:rsidTr="001C4CEE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</w:tr>
      <w:tr w:rsidR="001C4CEE" w:rsidTr="001C4CEE">
        <w:trPr>
          <w:trHeight w:val="510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1C4CEE">
        <w:trPr>
          <w:trHeight w:val="510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4CEE" w:rsidTr="001C4CEE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Исполнительный комитет ЕМ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Р(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по согласованию), Совет предпринимателей(по согласованию)</w:t>
            </w:r>
          </w:p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развития ЕМ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Р(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по согласованию),  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За счет средств СМП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4CEE" w:rsidTr="001C4CEE">
        <w:trPr>
          <w:trHeight w:val="315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1C4CEE" w:rsidTr="001C4CEE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по согласованию), 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CEE" w:rsidTr="001C4CEE">
        <w:trPr>
          <w:trHeight w:val="315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1C4CEE">
        <w:trPr>
          <w:trHeight w:val="315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 Поддержка приоритетных направлений</w:t>
            </w:r>
          </w:p>
        </w:tc>
      </w:tr>
      <w:tr w:rsidR="001C4CEE" w:rsidTr="001C4CEE">
        <w:trPr>
          <w:trHeight w:val="374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Привлечение субъектов  малого и среднего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предпринимательствв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Исполнительный комитет сельского поселения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C4CEE" w:rsidTr="001C4CEE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За счет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средста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СМП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CEE" w:rsidTr="001C4CEE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CEE" w:rsidTr="001C4C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C4CEE" w:rsidTr="001C4C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4CEE" w:rsidTr="001C4C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C4CEE" w:rsidTr="001C4CEE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CEE" w:rsidTr="001C4CEE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4CEE" w:rsidTr="001C4CEE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C4CEE" w:rsidTr="001C4CEE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1C4CEE" w:rsidRDefault="001C4CEE" w:rsidP="001C4CEE">
      <w:pPr>
        <w:rPr>
          <w:lang w:eastAsia="x-none"/>
        </w:rPr>
      </w:pPr>
    </w:p>
    <w:p w:rsidR="0056053C" w:rsidRDefault="0056053C"/>
    <w:sectPr w:rsidR="0056053C" w:rsidSect="001C4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EE"/>
    <w:rsid w:val="0009284C"/>
    <w:rsid w:val="001C4CEE"/>
    <w:rsid w:val="001D18C3"/>
    <w:rsid w:val="00464BB4"/>
    <w:rsid w:val="00516240"/>
    <w:rsid w:val="0056053C"/>
    <w:rsid w:val="006E1524"/>
    <w:rsid w:val="00AB5034"/>
    <w:rsid w:val="00C63130"/>
    <w:rsid w:val="00D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C4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C4CEE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cs="Times New Roman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EE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1C4CEE"/>
    <w:rPr>
      <w:rFonts w:ascii="Arial" w:hAnsi="Arial" w:cs="Arial" w:hint="default"/>
      <w:sz w:val="20"/>
      <w:szCs w:val="2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C4CEE"/>
  </w:style>
  <w:style w:type="paragraph" w:styleId="2">
    <w:name w:val="Body Text Indent 2"/>
    <w:basedOn w:val="a"/>
    <w:link w:val="20"/>
    <w:semiHidden/>
    <w:unhideWhenUsed/>
    <w:rsid w:val="001C4CEE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C4C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basedOn w:val="a0"/>
    <w:qFormat/>
    <w:rsid w:val="001C4C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6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C4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C4CEE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cs="Times New Roman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EE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1C4CEE"/>
    <w:rPr>
      <w:rFonts w:ascii="Arial" w:hAnsi="Arial" w:cs="Arial" w:hint="default"/>
      <w:sz w:val="20"/>
      <w:szCs w:val="2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C4CEE"/>
  </w:style>
  <w:style w:type="paragraph" w:styleId="2">
    <w:name w:val="Body Text Indent 2"/>
    <w:basedOn w:val="a"/>
    <w:link w:val="20"/>
    <w:semiHidden/>
    <w:unhideWhenUsed/>
    <w:rsid w:val="001C4CEE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C4C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basedOn w:val="a0"/>
    <w:qFormat/>
    <w:rsid w:val="001C4C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6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rn.Elb@tatar.ru" TargetMode="External"/><Relationship Id="rId13" Type="http://schemas.openxmlformats.org/officeDocument/2006/relationships/hyperlink" Target="file:///C:\Users\Anna\Downloads\&#1055;&#1088;&#1086;&#1075;&#1088;&#1072;&#1084;&#1084;&#1072;%20&#1088;&#1072;&#1079;&#1074;&#1080;&#1090;&#1080;&#1103;%20&#1057;&#1052;&#1057;&#1055;%20&#1057;&#1055;%20%20&#1087;&#1086;&#1089;&#1083;&#1077;&#1076;&#1085;&#1080;&#1081;%20&#1074;&#1072;&#1088;&#1080;&#1072;&#1085;&#1090;%20&#1054;&#1083;&#1103;%20(7)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Anna\Downloads\&#1055;&#1088;&#1086;&#1075;&#1088;&#1072;&#1084;&#1084;&#1072;%20&#1088;&#1072;&#1079;&#1074;&#1080;&#1090;&#1080;&#1103;%20&#1057;&#1052;&#1057;&#1055;%20&#1057;&#1055;%20%20&#1087;&#1086;&#1089;&#1083;&#1077;&#1076;&#1085;&#1080;&#1081;%20&#1074;&#1072;&#1088;&#1080;&#1072;&#1085;&#1090;%20&#1054;&#1083;&#1103;%20(7)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nna\Downloads\&#1055;&#1088;&#1086;&#1075;&#1088;&#1072;&#1084;&#1084;&#1072;%20&#1088;&#1072;&#1079;&#1074;&#1080;&#1090;&#1080;&#1103;%20&#1057;&#1052;&#1057;&#1055;%20&#1057;&#1055;%20%20&#1087;&#1086;&#1089;&#1083;&#1077;&#1076;&#1085;&#1080;&#1081;%20&#1074;&#1072;&#1088;&#1080;&#1072;&#1085;&#1090;%20&#1054;&#1083;&#1103;%20(7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nna\Downloads\&#1055;&#1088;&#1086;&#1075;&#1088;&#1072;&#1084;&#1084;&#1072;%20&#1088;&#1072;&#1079;&#1074;&#1080;&#1090;&#1080;&#1103;%20&#1057;&#1052;&#1057;&#1055;%20&#1057;&#1055;%20%20&#1087;&#1086;&#1089;&#1083;&#1077;&#1076;&#1085;&#1080;&#1081;%20&#1074;&#1072;&#1088;&#1080;&#1072;&#1085;&#1090;%20&#1054;&#1083;&#1103;%20(7)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nna\Downloads\&#1055;&#1088;&#1086;&#1075;&#1088;&#1072;&#1084;&#1084;&#1072;%20&#1088;&#1072;&#1079;&#1074;&#1080;&#1090;&#1080;&#1103;%20&#1057;&#1052;&#1057;&#1055;%20&#1057;&#1055;%20%20&#1087;&#1086;&#1089;&#1083;&#1077;&#1076;&#1085;&#1080;&#1081;%20&#1074;&#1072;&#1088;&#1080;&#1072;&#1085;&#1090;%20&#1054;&#1083;&#1103;%20(7).doc" TargetMode="External"/><Relationship Id="rId10" Type="http://schemas.openxmlformats.org/officeDocument/2006/relationships/hyperlink" Target="file:///C:\Users\Anna\Downloads\&#1055;&#1088;&#1086;&#1075;&#1088;&#1072;&#1084;&#1084;&#1072;%20&#1088;&#1072;&#1079;&#1074;&#1080;&#1090;&#1080;&#1103;%20&#1057;&#1052;&#1057;&#1055;%20&#1057;&#1055;%20%20&#1087;&#1086;&#1089;&#1083;&#1077;&#1076;&#1085;&#1080;&#1081;%20&#1074;&#1072;&#1088;&#1080;&#1072;&#1085;&#1090;%20&#1054;&#1083;&#1103;%20(7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file:///C:\Users\Anna\Downloads\&#1055;&#1088;&#1086;&#1075;&#1088;&#1072;&#1084;&#1084;&#1072;%20&#1088;&#1072;&#1079;&#1074;&#1080;&#1090;&#1080;&#1103;%20&#1057;&#1052;&#1057;&#1055;%20&#1057;&#1055;%20%20&#1087;&#1086;&#1089;&#1083;&#1077;&#1076;&#1085;&#1080;&#1081;%20&#1074;&#1072;&#1088;&#1080;&#1072;&#1085;&#1090;%20&#1054;&#1083;&#1103;%20(7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D2E1-8E1D-4F1F-88CA-A0D481FE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cp:lastPrinted>2017-01-19T12:33:00Z</cp:lastPrinted>
  <dcterms:created xsi:type="dcterms:W3CDTF">2016-12-28T04:45:00Z</dcterms:created>
  <dcterms:modified xsi:type="dcterms:W3CDTF">2017-01-19T12:34:00Z</dcterms:modified>
</cp:coreProperties>
</file>